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E639" w14:textId="2055D209" w:rsidR="00F66107" w:rsidRDefault="00F66107" w:rsidP="008159C3">
      <w:pPr>
        <w:spacing w:before="100" w:beforeAutospacing="1" w:after="100" w:afterAutospacing="1"/>
        <w:rPr>
          <w:rFonts w:eastAsia="Times New Roman" w:cstheme="minorHAnsi"/>
          <w:b/>
          <w:bCs/>
          <w:color w:val="000000"/>
          <w:sz w:val="22"/>
          <w:szCs w:val="22"/>
          <w:lang w:eastAsia="en-GB"/>
        </w:rPr>
      </w:pPr>
      <w:r>
        <w:rPr>
          <w:rFonts w:ascii="Avenir Book" w:hAnsi="Avenir Book" w:cs="Arial"/>
          <w:b/>
          <w:bCs/>
          <w:noProof/>
          <w:color w:val="000000"/>
        </w:rPr>
        <w:drawing>
          <wp:inline distT="0" distB="0" distL="0" distR="0" wp14:anchorId="0D0C7772" wp14:editId="324F0AB6">
            <wp:extent cx="1319655" cy="1178560"/>
            <wp:effectExtent l="0" t="0" r="127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82937" name="Picture 723782937"/>
                    <pic:cNvPicPr/>
                  </pic:nvPicPr>
                  <pic:blipFill>
                    <a:blip r:embed="rId10">
                      <a:extLst>
                        <a:ext uri="{28A0092B-C50C-407E-A947-70E740481C1C}">
                          <a14:useLocalDpi xmlns:a14="http://schemas.microsoft.com/office/drawing/2010/main" val="0"/>
                        </a:ext>
                      </a:extLst>
                    </a:blip>
                    <a:stretch>
                      <a:fillRect/>
                    </a:stretch>
                  </pic:blipFill>
                  <pic:spPr>
                    <a:xfrm>
                      <a:off x="0" y="0"/>
                      <a:ext cx="1325121" cy="1183441"/>
                    </a:xfrm>
                    <a:prstGeom prst="rect">
                      <a:avLst/>
                    </a:prstGeom>
                  </pic:spPr>
                </pic:pic>
              </a:graphicData>
            </a:graphic>
          </wp:inline>
        </w:drawing>
      </w: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r w:rsidRPr="005B0241">
        <w:rPr>
          <w:noProof/>
        </w:rPr>
        <w:drawing>
          <wp:inline distT="0" distB="0" distL="0" distR="0" wp14:anchorId="77BAF186" wp14:editId="59D0A062">
            <wp:extent cx="2327564" cy="5615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8189" cy="576139"/>
                    </a:xfrm>
                    <a:prstGeom prst="rect">
                      <a:avLst/>
                    </a:prstGeom>
                  </pic:spPr>
                </pic:pic>
              </a:graphicData>
            </a:graphic>
          </wp:inline>
        </w:drawing>
      </w:r>
    </w:p>
    <w:p w14:paraId="56860657" w14:textId="67A15F5B" w:rsidR="000D61A6" w:rsidRPr="000D61A6" w:rsidRDefault="000D61A6" w:rsidP="008159C3">
      <w:pPr>
        <w:spacing w:before="100" w:beforeAutospacing="1" w:after="100" w:afterAutospacing="1"/>
        <w:rPr>
          <w:rFonts w:eastAsia="Times New Roman" w:cstheme="minorHAnsi"/>
          <w:b/>
          <w:bCs/>
          <w:color w:val="000000"/>
          <w:sz w:val="22"/>
          <w:szCs w:val="22"/>
          <w:lang w:eastAsia="en-GB"/>
        </w:rPr>
      </w:pPr>
      <w:r w:rsidRPr="000D61A6">
        <w:rPr>
          <w:rFonts w:eastAsia="Times New Roman" w:cstheme="minorHAnsi"/>
          <w:b/>
          <w:bCs/>
          <w:color w:val="000000"/>
          <w:sz w:val="22"/>
          <w:szCs w:val="22"/>
          <w:lang w:eastAsia="en-GB"/>
        </w:rPr>
        <w:t>MEDIA RELEASE</w:t>
      </w:r>
      <w:r w:rsidRPr="000D61A6">
        <w:rPr>
          <w:rFonts w:eastAsia="Times New Roman" w:cstheme="minorHAnsi"/>
          <w:color w:val="000000"/>
          <w:sz w:val="22"/>
          <w:szCs w:val="22"/>
          <w:lang w:eastAsia="en-GB"/>
        </w:rPr>
        <w:br/>
      </w:r>
      <w:r w:rsidR="00911B0B">
        <w:rPr>
          <w:rFonts w:eastAsia="Times New Roman" w:cstheme="minorHAnsi"/>
          <w:b/>
          <w:bCs/>
          <w:color w:val="000000"/>
          <w:sz w:val="22"/>
          <w:szCs w:val="22"/>
          <w:lang w:eastAsia="en-GB"/>
        </w:rPr>
        <w:t>12</w:t>
      </w:r>
      <w:r w:rsidR="00911B0B" w:rsidRPr="00911B0B">
        <w:rPr>
          <w:rFonts w:eastAsia="Times New Roman" w:cstheme="minorHAnsi"/>
          <w:b/>
          <w:bCs/>
          <w:color w:val="000000"/>
          <w:sz w:val="22"/>
          <w:szCs w:val="22"/>
          <w:vertAlign w:val="superscript"/>
          <w:lang w:eastAsia="en-GB"/>
        </w:rPr>
        <w:t>th</w:t>
      </w:r>
      <w:r w:rsidR="00911B0B">
        <w:rPr>
          <w:rFonts w:eastAsia="Times New Roman" w:cstheme="minorHAnsi"/>
          <w:b/>
          <w:bCs/>
          <w:color w:val="000000"/>
          <w:sz w:val="22"/>
          <w:szCs w:val="22"/>
          <w:lang w:eastAsia="en-GB"/>
        </w:rPr>
        <w:t xml:space="preserve"> November, 2025</w:t>
      </w:r>
    </w:p>
    <w:p w14:paraId="460BE46A" w14:textId="1F224EB5" w:rsidR="008E7F44" w:rsidRPr="008E7F44" w:rsidRDefault="008E7F44" w:rsidP="008E7F44">
      <w:pPr>
        <w:pStyle w:val="Heading3"/>
        <w:spacing w:before="0" w:beforeAutospacing="0" w:after="0" w:afterAutospacing="0"/>
        <w:jc w:val="center"/>
        <w:rPr>
          <w:rStyle w:val="Strong"/>
          <w:rFonts w:asciiTheme="minorHAnsi" w:hAnsiTheme="minorHAnsi" w:cstheme="minorHAnsi"/>
          <w:b/>
          <w:bCs/>
          <w:color w:val="000000"/>
          <w:sz w:val="22"/>
          <w:szCs w:val="22"/>
        </w:rPr>
      </w:pPr>
      <w:r w:rsidRPr="008E7F44">
        <w:rPr>
          <w:rStyle w:val="Strong"/>
          <w:rFonts w:asciiTheme="minorHAnsi" w:hAnsiTheme="minorHAnsi" w:cstheme="minorHAnsi"/>
          <w:b/>
          <w:bCs/>
          <w:color w:val="000000"/>
          <w:sz w:val="22"/>
          <w:szCs w:val="22"/>
        </w:rPr>
        <w:t xml:space="preserve">Evaluation Confirms Improvements in </w:t>
      </w:r>
    </w:p>
    <w:p w14:paraId="005A380F" w14:textId="71031FAE" w:rsidR="008E7F44" w:rsidRDefault="008E7F44" w:rsidP="008E7F44">
      <w:pPr>
        <w:pStyle w:val="Heading3"/>
        <w:spacing w:before="0" w:beforeAutospacing="0" w:after="0" w:afterAutospacing="0"/>
        <w:jc w:val="center"/>
        <w:rPr>
          <w:rStyle w:val="Strong"/>
          <w:rFonts w:asciiTheme="minorHAnsi" w:hAnsiTheme="minorHAnsi" w:cstheme="minorHAnsi"/>
          <w:b/>
          <w:bCs/>
          <w:color w:val="000000"/>
          <w:sz w:val="22"/>
          <w:szCs w:val="22"/>
        </w:rPr>
      </w:pPr>
      <w:r w:rsidRPr="008E7F44">
        <w:rPr>
          <w:rStyle w:val="Strong"/>
          <w:rFonts w:asciiTheme="minorHAnsi" w:hAnsiTheme="minorHAnsi" w:cstheme="minorHAnsi"/>
          <w:b/>
          <w:bCs/>
          <w:color w:val="000000"/>
          <w:sz w:val="22"/>
          <w:szCs w:val="22"/>
        </w:rPr>
        <w:t>Food, Skills and Resident Wellbeing in Aged Care</w:t>
      </w:r>
      <w:r>
        <w:rPr>
          <w:rStyle w:val="Strong"/>
          <w:rFonts w:asciiTheme="minorHAnsi" w:hAnsiTheme="minorHAnsi" w:cstheme="minorHAnsi"/>
          <w:b/>
          <w:bCs/>
          <w:color w:val="000000"/>
          <w:sz w:val="22"/>
          <w:szCs w:val="22"/>
        </w:rPr>
        <w:t>.</w:t>
      </w:r>
    </w:p>
    <w:p w14:paraId="1FE35238" w14:textId="77777777" w:rsidR="008E7F44" w:rsidRPr="008E7F44" w:rsidRDefault="008E7F44" w:rsidP="008E7F44">
      <w:pPr>
        <w:pStyle w:val="Heading3"/>
        <w:spacing w:before="0" w:beforeAutospacing="0" w:after="0" w:afterAutospacing="0"/>
        <w:jc w:val="center"/>
        <w:rPr>
          <w:rFonts w:asciiTheme="minorHAnsi" w:hAnsiTheme="minorHAnsi" w:cstheme="minorHAnsi"/>
          <w:color w:val="000000"/>
          <w:sz w:val="22"/>
          <w:szCs w:val="22"/>
        </w:rPr>
      </w:pPr>
    </w:p>
    <w:p w14:paraId="2025586A" w14:textId="77777777" w:rsidR="008E7F44" w:rsidRPr="008E7F44" w:rsidRDefault="008E7F44" w:rsidP="008E7F44">
      <w:pPr>
        <w:pStyle w:val="NormalWeb"/>
        <w:spacing w:before="0" w:beforeAutospacing="0" w:after="0" w:afterAutospacing="0"/>
        <w:jc w:val="center"/>
        <w:rPr>
          <w:rFonts w:asciiTheme="minorHAnsi" w:hAnsiTheme="minorHAnsi" w:cstheme="minorHAnsi"/>
          <w:i/>
          <w:iCs/>
          <w:color w:val="000000"/>
          <w:sz w:val="22"/>
          <w:szCs w:val="22"/>
        </w:rPr>
      </w:pPr>
      <w:r w:rsidRPr="008E7F44">
        <w:rPr>
          <w:rStyle w:val="Strong"/>
          <w:rFonts w:asciiTheme="minorHAnsi" w:hAnsiTheme="minorHAnsi" w:cstheme="minorHAnsi"/>
          <w:i/>
          <w:iCs/>
          <w:color w:val="000000"/>
          <w:sz w:val="22"/>
          <w:szCs w:val="22"/>
        </w:rPr>
        <w:t>Maggie Beer Foundation program delivers capability uplift, improved meal quality and stronger kitchen culture — with high demand across the sector</w:t>
      </w:r>
    </w:p>
    <w:p w14:paraId="53BDA07E" w14:textId="1B92DB68" w:rsidR="008E7F44" w:rsidRPr="008D4771" w:rsidRDefault="008E7F44" w:rsidP="008D4771">
      <w:pPr>
        <w:pStyle w:val="NormalWeb"/>
        <w:jc w:val="both"/>
        <w:rPr>
          <w:rFonts w:ascii="Calibri" w:hAnsi="Calibri" w:cs="Calibri"/>
          <w:color w:val="000000"/>
          <w:sz w:val="21"/>
          <w:szCs w:val="21"/>
        </w:rPr>
      </w:pPr>
      <w:r w:rsidRPr="008D4771">
        <w:rPr>
          <w:rFonts w:ascii="Calibri" w:hAnsi="Calibri" w:cs="Calibri"/>
          <w:color w:val="000000"/>
          <w:sz w:val="21"/>
          <w:szCs w:val="21"/>
        </w:rPr>
        <w:t>A Year Two evaluation by</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HealthConsult Pty Ltd</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has confirmed that the Maggie Beer Foundation’s</w:t>
      </w:r>
      <w:r w:rsidRPr="008D4771">
        <w:rPr>
          <w:rStyle w:val="apple-converted-space"/>
          <w:rFonts w:ascii="Calibri" w:hAnsi="Calibri" w:cs="Calibri"/>
          <w:color w:val="000000"/>
          <w:sz w:val="21"/>
          <w:szCs w:val="21"/>
        </w:rPr>
        <w:t> </w:t>
      </w:r>
      <w:r w:rsidRPr="008D4771">
        <w:rPr>
          <w:rStyle w:val="Emphasis"/>
          <w:rFonts w:ascii="Calibri" w:hAnsi="Calibri" w:cs="Calibri"/>
          <w:color w:val="000000"/>
          <w:sz w:val="21"/>
          <w:szCs w:val="21"/>
        </w:rPr>
        <w:t>Improving Food in Aged Care through Education and Training</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 xml:space="preserve">program is </w:t>
      </w:r>
      <w:r w:rsidR="00D56BA5">
        <w:rPr>
          <w:rFonts w:ascii="Calibri" w:hAnsi="Calibri" w:cs="Calibri"/>
          <w:color w:val="000000"/>
          <w:sz w:val="21"/>
          <w:szCs w:val="21"/>
        </w:rPr>
        <w:t>contributing to</w:t>
      </w:r>
      <w:r w:rsidR="005634F6"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improvements in food quality, nutrition, staff capability and resident wellbeing</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in residential aged care homes across Australia.</w:t>
      </w:r>
    </w:p>
    <w:p w14:paraId="345E7964" w14:textId="4E2626A2" w:rsidR="008E7F44" w:rsidRPr="008D4771" w:rsidRDefault="008E7F44" w:rsidP="008D4771">
      <w:pPr>
        <w:pStyle w:val="NormalWeb"/>
        <w:jc w:val="both"/>
        <w:rPr>
          <w:rFonts w:ascii="Calibri" w:hAnsi="Calibri" w:cs="Calibri"/>
          <w:color w:val="000000"/>
          <w:sz w:val="21"/>
          <w:szCs w:val="21"/>
        </w:rPr>
      </w:pPr>
      <w:r w:rsidRPr="008D4771">
        <w:rPr>
          <w:rFonts w:ascii="Calibri" w:hAnsi="Calibri" w:cs="Calibri"/>
          <w:color w:val="000000"/>
          <w:sz w:val="21"/>
          <w:szCs w:val="21"/>
        </w:rPr>
        <w:t>The program is funded through a</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capped $6.7 million</w:t>
      </w:r>
      <w:r w:rsidR="006917E7">
        <w:rPr>
          <w:rStyle w:val="Strong"/>
          <w:rFonts w:ascii="Calibri" w:hAnsi="Calibri" w:cs="Calibri"/>
          <w:b w:val="0"/>
          <w:bCs w:val="0"/>
          <w:color w:val="000000"/>
          <w:sz w:val="21"/>
          <w:szCs w:val="21"/>
        </w:rPr>
        <w:t xml:space="preserve"> </w:t>
      </w:r>
      <w:r w:rsidRPr="008D4771">
        <w:rPr>
          <w:rStyle w:val="Strong"/>
          <w:rFonts w:ascii="Calibri" w:hAnsi="Calibri" w:cs="Calibri"/>
          <w:b w:val="0"/>
          <w:bCs w:val="0"/>
          <w:color w:val="000000"/>
          <w:sz w:val="21"/>
          <w:szCs w:val="21"/>
        </w:rPr>
        <w:t>Commonwealth grant</w:t>
      </w:r>
      <w:r w:rsidRPr="008D4771">
        <w:rPr>
          <w:rFonts w:ascii="Calibri" w:hAnsi="Calibri" w:cs="Calibri"/>
          <w:color w:val="000000"/>
          <w:sz w:val="21"/>
          <w:szCs w:val="21"/>
        </w:rPr>
        <w:t xml:space="preserve">, with progress reviewed </w:t>
      </w:r>
      <w:r w:rsidR="001A38FC">
        <w:rPr>
          <w:rFonts w:ascii="Calibri" w:hAnsi="Calibri" w:cs="Calibri"/>
          <w:color w:val="000000"/>
          <w:sz w:val="21"/>
          <w:szCs w:val="21"/>
        </w:rPr>
        <w:t xml:space="preserve">by </w:t>
      </w:r>
      <w:proofErr w:type="spellStart"/>
      <w:r w:rsidR="001A38FC">
        <w:rPr>
          <w:rFonts w:ascii="Calibri" w:hAnsi="Calibri" w:cs="Calibri"/>
          <w:color w:val="000000"/>
          <w:sz w:val="21"/>
          <w:szCs w:val="21"/>
        </w:rPr>
        <w:t>HealthConsult</w:t>
      </w:r>
      <w:proofErr w:type="spellEnd"/>
      <w:r w:rsidR="001A38FC">
        <w:rPr>
          <w:rFonts w:ascii="Calibri" w:hAnsi="Calibri" w:cs="Calibri"/>
          <w:color w:val="000000"/>
          <w:sz w:val="21"/>
          <w:szCs w:val="21"/>
        </w:rPr>
        <w:t xml:space="preserve"> </w:t>
      </w:r>
      <w:r w:rsidRPr="008D4771">
        <w:rPr>
          <w:rFonts w:ascii="Calibri" w:hAnsi="Calibri" w:cs="Calibri"/>
          <w:color w:val="000000"/>
          <w:sz w:val="21"/>
          <w:szCs w:val="21"/>
        </w:rPr>
        <w:t>to ensure</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value for public investment</w:t>
      </w:r>
      <w:r w:rsidRPr="008D4771">
        <w:rPr>
          <w:rFonts w:ascii="Calibri" w:hAnsi="Calibri" w:cs="Calibri"/>
          <w:color w:val="000000"/>
          <w:sz w:val="21"/>
          <w:szCs w:val="21"/>
        </w:rPr>
        <w:t>.</w:t>
      </w:r>
    </w:p>
    <w:p w14:paraId="2CC2DCAA" w14:textId="4A309A03" w:rsidR="008E7F44" w:rsidRPr="008D4771" w:rsidRDefault="008E7F44" w:rsidP="008D4771">
      <w:pPr>
        <w:pStyle w:val="NormalWeb"/>
        <w:jc w:val="both"/>
        <w:rPr>
          <w:rFonts w:ascii="Calibri" w:hAnsi="Calibri" w:cs="Calibri"/>
          <w:b/>
          <w:bCs/>
          <w:color w:val="000000"/>
          <w:sz w:val="21"/>
          <w:szCs w:val="21"/>
        </w:rPr>
      </w:pPr>
      <w:r w:rsidRPr="008D4771">
        <w:rPr>
          <w:rFonts w:ascii="Calibri" w:hAnsi="Calibri" w:cs="Calibri"/>
          <w:color w:val="000000"/>
          <w:sz w:val="21"/>
          <w:szCs w:val="21"/>
        </w:rPr>
        <w:t xml:space="preserve">The </w:t>
      </w:r>
      <w:r w:rsidR="00916B0C">
        <w:rPr>
          <w:rFonts w:ascii="Calibri" w:hAnsi="Calibri" w:cs="Calibri"/>
          <w:color w:val="000000"/>
          <w:sz w:val="21"/>
          <w:szCs w:val="21"/>
        </w:rPr>
        <w:t xml:space="preserve">Year 2 </w:t>
      </w:r>
      <w:r w:rsidRPr="008D4771">
        <w:rPr>
          <w:rFonts w:ascii="Calibri" w:hAnsi="Calibri" w:cs="Calibri"/>
          <w:color w:val="000000"/>
          <w:sz w:val="21"/>
          <w:szCs w:val="21"/>
        </w:rPr>
        <w:t>evaluation found the program is</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building practical skills, confidence and pride</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among aged care cooks, chefs and kitchen staff — resulting in</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better tasting, more nutritious meals</w:t>
      </w:r>
      <w:r w:rsidRPr="008D4771">
        <w:rPr>
          <w:rStyle w:val="apple-converted-space"/>
          <w:rFonts w:ascii="Calibri" w:hAnsi="Calibri" w:cs="Calibri"/>
          <w:b/>
          <w:bCs/>
          <w:color w:val="000000"/>
          <w:sz w:val="21"/>
          <w:szCs w:val="21"/>
        </w:rPr>
        <w:t> </w:t>
      </w:r>
      <w:r w:rsidRPr="008D4771">
        <w:rPr>
          <w:rFonts w:ascii="Calibri" w:hAnsi="Calibri" w:cs="Calibri"/>
          <w:color w:val="000000"/>
          <w:sz w:val="21"/>
          <w:szCs w:val="21"/>
        </w:rPr>
        <w:t>and a</w:t>
      </w:r>
      <w:r w:rsidRPr="008D4771">
        <w:rPr>
          <w:rStyle w:val="apple-converted-space"/>
          <w:rFonts w:ascii="Calibri" w:hAnsi="Calibri" w:cs="Calibri"/>
          <w:b/>
          <w:bCs/>
          <w:color w:val="000000"/>
          <w:sz w:val="21"/>
          <w:szCs w:val="21"/>
        </w:rPr>
        <w:t> </w:t>
      </w:r>
      <w:r w:rsidRPr="008D4771">
        <w:rPr>
          <w:rStyle w:val="Strong"/>
          <w:rFonts w:ascii="Calibri" w:hAnsi="Calibri" w:cs="Calibri"/>
          <w:b w:val="0"/>
          <w:bCs w:val="0"/>
          <w:color w:val="000000"/>
          <w:sz w:val="21"/>
          <w:szCs w:val="21"/>
        </w:rPr>
        <w:t>more positive dining experience for residents</w:t>
      </w:r>
      <w:r w:rsidRPr="008D4771">
        <w:rPr>
          <w:rFonts w:ascii="Calibri" w:hAnsi="Calibri" w:cs="Calibri"/>
          <w:b/>
          <w:bCs/>
          <w:color w:val="000000"/>
          <w:sz w:val="21"/>
          <w:szCs w:val="21"/>
        </w:rPr>
        <w:t>.</w:t>
      </w:r>
    </w:p>
    <w:p w14:paraId="4A9825E5" w14:textId="0909456E" w:rsidR="008E7F44" w:rsidRPr="008D4771" w:rsidRDefault="008E7F44" w:rsidP="008D4771">
      <w:pPr>
        <w:pStyle w:val="NormalWeb"/>
        <w:jc w:val="both"/>
        <w:rPr>
          <w:rFonts w:ascii="Calibri" w:hAnsi="Calibri" w:cs="Calibri"/>
          <w:color w:val="000000"/>
          <w:sz w:val="21"/>
          <w:szCs w:val="21"/>
        </w:rPr>
      </w:pPr>
      <w:r w:rsidRPr="008D4771">
        <w:rPr>
          <w:rStyle w:val="Strong"/>
          <w:rFonts w:ascii="Calibri" w:hAnsi="Calibri" w:cs="Calibri"/>
          <w:b w:val="0"/>
          <w:bCs w:val="0"/>
          <w:color w:val="000000"/>
          <w:sz w:val="21"/>
          <w:szCs w:val="21"/>
        </w:rPr>
        <w:t>“</w:t>
      </w:r>
      <w:r w:rsidR="00B8422A">
        <w:rPr>
          <w:rStyle w:val="Strong"/>
          <w:rFonts w:ascii="Calibri" w:hAnsi="Calibri" w:cs="Calibri"/>
          <w:b w:val="0"/>
          <w:bCs w:val="0"/>
          <w:color w:val="000000"/>
          <w:sz w:val="21"/>
          <w:szCs w:val="21"/>
        </w:rPr>
        <w:t xml:space="preserve">Year 2 of the </w:t>
      </w:r>
      <w:r w:rsidRPr="008D4771">
        <w:rPr>
          <w:rStyle w:val="Strong"/>
          <w:rFonts w:ascii="Calibri" w:hAnsi="Calibri" w:cs="Calibri"/>
          <w:b w:val="0"/>
          <w:bCs w:val="0"/>
          <w:color w:val="000000"/>
          <w:sz w:val="21"/>
          <w:szCs w:val="21"/>
        </w:rPr>
        <w:t xml:space="preserve">evaluation </w:t>
      </w:r>
      <w:r w:rsidR="00B8422A">
        <w:rPr>
          <w:rStyle w:val="Strong"/>
          <w:rFonts w:ascii="Calibri" w:hAnsi="Calibri" w:cs="Calibri"/>
          <w:b w:val="0"/>
          <w:bCs w:val="0"/>
          <w:color w:val="000000"/>
          <w:sz w:val="21"/>
          <w:szCs w:val="21"/>
        </w:rPr>
        <w:t xml:space="preserve">suggests </w:t>
      </w:r>
      <w:r w:rsidRPr="008D4771">
        <w:rPr>
          <w:rStyle w:val="Strong"/>
          <w:rFonts w:ascii="Calibri" w:hAnsi="Calibri" w:cs="Calibri"/>
          <w:b w:val="0"/>
          <w:bCs w:val="0"/>
          <w:color w:val="000000"/>
          <w:sz w:val="21"/>
          <w:szCs w:val="21"/>
        </w:rPr>
        <w:t>improvements in food quality and kitchen capability,”</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said</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Dr Lisa Fodero</w:t>
      </w:r>
      <w:r w:rsidRPr="008D4771">
        <w:rPr>
          <w:rFonts w:ascii="Calibri" w:hAnsi="Calibri" w:cs="Calibri"/>
          <w:color w:val="000000"/>
          <w:sz w:val="21"/>
          <w:szCs w:val="21"/>
        </w:rPr>
        <w:t xml:space="preserve">, Managing Partner, HealthConsult. </w:t>
      </w:r>
      <w:r w:rsidRPr="008D4771">
        <w:rPr>
          <w:rStyle w:val="Emphasis"/>
          <w:rFonts w:ascii="Calibri" w:hAnsi="Calibri" w:cs="Calibri"/>
          <w:i w:val="0"/>
          <w:iCs w:val="0"/>
          <w:color w:val="000000"/>
          <w:sz w:val="21"/>
          <w:szCs w:val="21"/>
        </w:rPr>
        <w:t>“</w:t>
      </w:r>
      <w:r w:rsidR="00043A27">
        <w:rPr>
          <w:rStyle w:val="Emphasis"/>
          <w:rFonts w:ascii="Calibri" w:hAnsi="Calibri" w:cs="Calibri"/>
          <w:i w:val="0"/>
          <w:iCs w:val="0"/>
          <w:color w:val="000000"/>
          <w:sz w:val="21"/>
          <w:szCs w:val="21"/>
        </w:rPr>
        <w:t>Program p</w:t>
      </w:r>
      <w:r w:rsidRPr="008D4771">
        <w:rPr>
          <w:rStyle w:val="Emphasis"/>
          <w:rFonts w:ascii="Calibri" w:hAnsi="Calibri" w:cs="Calibri"/>
          <w:i w:val="0"/>
          <w:iCs w:val="0"/>
          <w:color w:val="000000"/>
          <w:sz w:val="21"/>
          <w:szCs w:val="21"/>
        </w:rPr>
        <w:t xml:space="preserve">articipants reported enhanced flavour, nutrition and meal presentation, and a stronger sense of confidence and professional identity. </w:t>
      </w:r>
      <w:r w:rsidRPr="008D4771">
        <w:rPr>
          <w:rFonts w:ascii="Calibri" w:hAnsi="Calibri" w:cs="Calibri"/>
          <w:color w:val="000000"/>
          <w:sz w:val="21"/>
          <w:szCs w:val="21"/>
        </w:rPr>
        <w:t xml:space="preserve">The program’s practical, in-home mentoring and accessible online learning </w:t>
      </w:r>
      <w:r w:rsidR="00CB6247">
        <w:rPr>
          <w:rFonts w:ascii="Calibri" w:hAnsi="Calibri" w:cs="Calibri"/>
          <w:color w:val="000000"/>
          <w:sz w:val="21"/>
          <w:szCs w:val="21"/>
        </w:rPr>
        <w:t xml:space="preserve">through </w:t>
      </w:r>
      <w:r w:rsidR="001C0142">
        <w:rPr>
          <w:rFonts w:ascii="Calibri" w:hAnsi="Calibri" w:cs="Calibri"/>
          <w:color w:val="000000"/>
          <w:sz w:val="21"/>
          <w:szCs w:val="21"/>
        </w:rPr>
        <w:t>its</w:t>
      </w:r>
      <w:r w:rsidR="00CB6247">
        <w:rPr>
          <w:rFonts w:ascii="Calibri" w:hAnsi="Calibri" w:cs="Calibri"/>
          <w:color w:val="000000"/>
          <w:sz w:val="21"/>
          <w:szCs w:val="21"/>
        </w:rPr>
        <w:t xml:space="preserve"> Hubs, Online Learning Modules and Professional Community, </w:t>
      </w:r>
      <w:r w:rsidRPr="008D4771">
        <w:rPr>
          <w:rFonts w:ascii="Calibri" w:hAnsi="Calibri" w:cs="Calibri"/>
          <w:color w:val="000000"/>
          <w:sz w:val="21"/>
          <w:szCs w:val="21"/>
        </w:rPr>
        <w:t>are helping to build skills, confidence and pride — addressing long-standing challenges such as high turnover, limited recognition and low digital readiness.”</w:t>
      </w:r>
    </w:p>
    <w:p w14:paraId="666D5555" w14:textId="77777777" w:rsidR="008E7F44" w:rsidRPr="008D4771" w:rsidRDefault="008E7F44" w:rsidP="008D4771">
      <w:pPr>
        <w:spacing w:line="276" w:lineRule="auto"/>
        <w:jc w:val="both"/>
        <w:rPr>
          <w:rFonts w:cstheme="minorHAnsi"/>
          <w:sz w:val="21"/>
          <w:szCs w:val="21"/>
          <w:lang w:val="en-US"/>
        </w:rPr>
      </w:pPr>
      <w:r w:rsidRPr="008D4771">
        <w:rPr>
          <w:rFonts w:cstheme="minorHAnsi"/>
          <w:sz w:val="21"/>
          <w:szCs w:val="21"/>
          <w:lang w:val="en-US"/>
        </w:rPr>
        <w:t>“As expected with a new program, there have also been learnings along the way. The Foundation team has been receptive to evaluation findings, refining selection, delivery formats and digital support to improve usability, participation and value for the public investment. In this way impact builds as cohorts complete the 12</w:t>
      </w:r>
      <w:r w:rsidRPr="008D4771">
        <w:rPr>
          <w:rFonts w:cstheme="minorHAnsi"/>
          <w:sz w:val="21"/>
          <w:szCs w:val="21"/>
          <w:lang w:val="en-US"/>
        </w:rPr>
        <w:noBreakHyphen/>
        <w:t>month cycle,” said Dr Fodero.</w:t>
      </w:r>
    </w:p>
    <w:p w14:paraId="0B6F8728" w14:textId="06704A83" w:rsidR="008E7F44" w:rsidRPr="008D4771" w:rsidRDefault="008E7F44" w:rsidP="008D4771">
      <w:pPr>
        <w:spacing w:before="100" w:beforeAutospacing="1" w:after="100" w:afterAutospacing="1"/>
        <w:jc w:val="both"/>
        <w:rPr>
          <w:rFonts w:eastAsia="Times New Roman" w:cstheme="minorHAnsi"/>
          <w:color w:val="000000"/>
          <w:sz w:val="21"/>
          <w:szCs w:val="21"/>
          <w:lang w:eastAsia="en-GB"/>
        </w:rPr>
      </w:pPr>
      <w:r w:rsidRPr="008D4771">
        <w:rPr>
          <w:rFonts w:eastAsia="Times New Roman" w:cstheme="minorHAnsi"/>
          <w:color w:val="000000"/>
          <w:sz w:val="21"/>
          <w:szCs w:val="21"/>
          <w:lang w:eastAsia="en-GB"/>
        </w:rPr>
        <w:t>The </w:t>
      </w:r>
      <w:r w:rsidRPr="008D4771">
        <w:rPr>
          <w:rFonts w:eastAsia="Times New Roman" w:cstheme="minorHAnsi"/>
          <w:i/>
          <w:iCs/>
          <w:color w:val="000000"/>
          <w:sz w:val="21"/>
          <w:szCs w:val="21"/>
          <w:lang w:eastAsia="en-GB"/>
        </w:rPr>
        <w:t>Improving Food in Aged Care</w:t>
      </w:r>
      <w:r w:rsidRPr="008D4771">
        <w:rPr>
          <w:rFonts w:eastAsia="Times New Roman" w:cstheme="minorHAnsi"/>
          <w:color w:val="000000"/>
          <w:sz w:val="21"/>
          <w:szCs w:val="21"/>
          <w:lang w:eastAsia="en-GB"/>
        </w:rPr>
        <w:t> </w:t>
      </w:r>
      <w:r w:rsidR="00980E0E" w:rsidRPr="00980E0E">
        <w:rPr>
          <w:rFonts w:eastAsia="Times New Roman" w:cstheme="minorHAnsi"/>
          <w:i/>
          <w:iCs/>
          <w:color w:val="000000"/>
          <w:sz w:val="21"/>
          <w:szCs w:val="21"/>
          <w:lang w:eastAsia="en-GB"/>
        </w:rPr>
        <w:t>through Education and Training</w:t>
      </w:r>
      <w:r w:rsidR="00980E0E">
        <w:rPr>
          <w:rFonts w:eastAsia="Times New Roman" w:cstheme="minorHAnsi"/>
          <w:color w:val="000000"/>
          <w:sz w:val="21"/>
          <w:szCs w:val="21"/>
          <w:lang w:eastAsia="en-GB"/>
        </w:rPr>
        <w:t xml:space="preserve"> </w:t>
      </w:r>
      <w:r w:rsidRPr="008D4771">
        <w:rPr>
          <w:rFonts w:eastAsia="Times New Roman" w:cstheme="minorHAnsi"/>
          <w:color w:val="000000"/>
          <w:sz w:val="21"/>
          <w:szCs w:val="21"/>
          <w:lang w:eastAsia="en-GB"/>
        </w:rPr>
        <w:t>program is the first of its kind, built around an evidence-based, “learning by doing” model. It combines structured hands-on mentoring, scalable online learning, resource development and professional networking to create sustainable change across aged care kitchens.</w:t>
      </w:r>
    </w:p>
    <w:p w14:paraId="2670DDA8" w14:textId="5A1B90F5" w:rsidR="008E7F44" w:rsidRPr="008D4771" w:rsidRDefault="008E7F44" w:rsidP="008D4771">
      <w:pPr>
        <w:spacing w:before="100" w:beforeAutospacing="1" w:after="100" w:afterAutospacing="1"/>
        <w:jc w:val="both"/>
        <w:rPr>
          <w:rFonts w:eastAsia="Times New Roman" w:cstheme="minorHAnsi"/>
          <w:color w:val="000000"/>
          <w:sz w:val="21"/>
          <w:szCs w:val="21"/>
          <w:lang w:eastAsia="en-GB"/>
        </w:rPr>
      </w:pPr>
      <w:r w:rsidRPr="008D4771">
        <w:rPr>
          <w:rFonts w:eastAsia="Times New Roman" w:cstheme="minorHAnsi"/>
          <w:color w:val="000000"/>
          <w:sz w:val="21"/>
          <w:szCs w:val="21"/>
          <w:lang w:eastAsia="en-GB"/>
        </w:rPr>
        <w:t>The program operates through four interconnected components:</w:t>
      </w:r>
    </w:p>
    <w:p w14:paraId="5F859B85" w14:textId="77777777" w:rsidR="008E7F44" w:rsidRPr="008D4771" w:rsidRDefault="008E7F44" w:rsidP="008D4771">
      <w:pPr>
        <w:numPr>
          <w:ilvl w:val="0"/>
          <w:numId w:val="1"/>
        </w:numPr>
        <w:spacing w:before="100" w:beforeAutospacing="1" w:after="100" w:afterAutospacing="1"/>
        <w:jc w:val="both"/>
        <w:rPr>
          <w:rFonts w:eastAsia="Times New Roman" w:cstheme="minorHAnsi"/>
          <w:color w:val="000000"/>
          <w:sz w:val="21"/>
          <w:szCs w:val="21"/>
          <w:lang w:eastAsia="en-GB"/>
        </w:rPr>
      </w:pPr>
      <w:r w:rsidRPr="008D4771">
        <w:rPr>
          <w:rFonts w:eastAsia="Times New Roman" w:cstheme="minorHAnsi"/>
          <w:b/>
          <w:bCs/>
          <w:color w:val="000000"/>
          <w:sz w:val="21"/>
          <w:szCs w:val="21"/>
          <w:lang w:eastAsia="en-GB"/>
        </w:rPr>
        <w:t>Trainer Mentor Program (TMP)</w:t>
      </w:r>
      <w:r w:rsidRPr="008D4771">
        <w:rPr>
          <w:rFonts w:eastAsia="Times New Roman" w:cstheme="minorHAnsi"/>
          <w:color w:val="000000"/>
          <w:sz w:val="21"/>
          <w:szCs w:val="21"/>
          <w:lang w:eastAsia="en-GB"/>
        </w:rPr>
        <w:t> — Chef Trainers provide 12 months of in-home mentoring focused on practical cooking, nutrition, workflow and the dining experience.</w:t>
      </w:r>
    </w:p>
    <w:p w14:paraId="23AC283E" w14:textId="6D45211A" w:rsidR="008E7F44" w:rsidRPr="008D4771" w:rsidRDefault="008E7F44" w:rsidP="008D4771">
      <w:pPr>
        <w:numPr>
          <w:ilvl w:val="0"/>
          <w:numId w:val="1"/>
        </w:numPr>
        <w:spacing w:before="100" w:beforeAutospacing="1" w:after="100" w:afterAutospacing="1"/>
        <w:jc w:val="both"/>
        <w:rPr>
          <w:rFonts w:eastAsia="Times New Roman" w:cstheme="minorHAnsi"/>
          <w:color w:val="000000"/>
          <w:sz w:val="21"/>
          <w:szCs w:val="21"/>
          <w:lang w:eastAsia="en-GB"/>
        </w:rPr>
      </w:pPr>
      <w:r w:rsidRPr="008D4771">
        <w:rPr>
          <w:rFonts w:eastAsia="Times New Roman" w:cstheme="minorHAnsi"/>
          <w:b/>
          <w:bCs/>
          <w:color w:val="000000"/>
          <w:sz w:val="21"/>
          <w:szCs w:val="21"/>
          <w:lang w:eastAsia="en-GB"/>
        </w:rPr>
        <w:t>Hubs</w:t>
      </w:r>
      <w:r w:rsidRPr="008D4771">
        <w:rPr>
          <w:rFonts w:eastAsia="Times New Roman" w:cstheme="minorHAnsi"/>
          <w:color w:val="000000"/>
          <w:sz w:val="21"/>
          <w:szCs w:val="21"/>
          <w:lang w:eastAsia="en-GB"/>
        </w:rPr>
        <w:t xml:space="preserve"> — </w:t>
      </w:r>
      <w:r w:rsidR="00980E0E">
        <w:rPr>
          <w:rFonts w:eastAsia="Times New Roman" w:cstheme="minorHAnsi"/>
          <w:color w:val="000000"/>
          <w:sz w:val="21"/>
          <w:szCs w:val="21"/>
          <w:lang w:eastAsia="en-GB"/>
        </w:rPr>
        <w:t xml:space="preserve">Short courses </w:t>
      </w:r>
      <w:r w:rsidRPr="008D4771">
        <w:rPr>
          <w:rFonts w:eastAsia="Times New Roman" w:cstheme="minorHAnsi"/>
          <w:color w:val="000000"/>
          <w:sz w:val="21"/>
          <w:szCs w:val="21"/>
          <w:lang w:eastAsia="en-GB"/>
        </w:rPr>
        <w:t>that extend reach and build shared understanding across providers.</w:t>
      </w:r>
    </w:p>
    <w:p w14:paraId="1E908DB8" w14:textId="6B319419" w:rsidR="008E7F44" w:rsidRPr="008D4771" w:rsidRDefault="008E7F44" w:rsidP="008D4771">
      <w:pPr>
        <w:numPr>
          <w:ilvl w:val="0"/>
          <w:numId w:val="1"/>
        </w:numPr>
        <w:spacing w:before="100" w:beforeAutospacing="1" w:after="100" w:afterAutospacing="1"/>
        <w:jc w:val="both"/>
        <w:rPr>
          <w:rFonts w:eastAsia="Times New Roman" w:cstheme="minorHAnsi"/>
          <w:color w:val="000000"/>
          <w:sz w:val="21"/>
          <w:szCs w:val="21"/>
          <w:lang w:eastAsia="en-GB"/>
        </w:rPr>
      </w:pPr>
      <w:r w:rsidRPr="008D4771">
        <w:rPr>
          <w:rFonts w:eastAsia="Times New Roman" w:cstheme="minorHAnsi"/>
          <w:b/>
          <w:bCs/>
          <w:color w:val="000000"/>
          <w:sz w:val="21"/>
          <w:szCs w:val="21"/>
          <w:lang w:eastAsia="en-GB"/>
        </w:rPr>
        <w:t>Online Learning Modules (OLMs)</w:t>
      </w:r>
      <w:r w:rsidRPr="008D4771">
        <w:rPr>
          <w:rFonts w:eastAsia="Times New Roman" w:cstheme="minorHAnsi"/>
          <w:color w:val="000000"/>
          <w:sz w:val="21"/>
          <w:szCs w:val="21"/>
          <w:lang w:eastAsia="en-GB"/>
        </w:rPr>
        <w:t> — Flexible, bite-sized training.</w:t>
      </w:r>
    </w:p>
    <w:p w14:paraId="2A99925A" w14:textId="77777777" w:rsidR="008E7F44" w:rsidRPr="008D4771" w:rsidRDefault="008E7F44" w:rsidP="008D4771">
      <w:pPr>
        <w:numPr>
          <w:ilvl w:val="0"/>
          <w:numId w:val="1"/>
        </w:numPr>
        <w:spacing w:before="100" w:beforeAutospacing="1" w:after="100" w:afterAutospacing="1"/>
        <w:jc w:val="both"/>
        <w:rPr>
          <w:rFonts w:eastAsia="Times New Roman" w:cstheme="minorHAnsi"/>
          <w:color w:val="000000"/>
          <w:sz w:val="21"/>
          <w:szCs w:val="21"/>
          <w:lang w:eastAsia="en-GB"/>
        </w:rPr>
      </w:pPr>
      <w:r w:rsidRPr="008D4771">
        <w:rPr>
          <w:rFonts w:eastAsia="Times New Roman" w:cstheme="minorHAnsi"/>
          <w:b/>
          <w:bCs/>
          <w:color w:val="000000"/>
          <w:sz w:val="21"/>
          <w:szCs w:val="21"/>
          <w:lang w:eastAsia="en-GB"/>
        </w:rPr>
        <w:t>Professional Community</w:t>
      </w:r>
      <w:r w:rsidRPr="008D4771">
        <w:rPr>
          <w:rFonts w:eastAsia="Times New Roman" w:cstheme="minorHAnsi"/>
          <w:color w:val="000000"/>
          <w:sz w:val="21"/>
          <w:szCs w:val="21"/>
          <w:lang w:eastAsia="en-GB"/>
        </w:rPr>
        <w:t> — A growing repository of resources and peer connection supporting ongoing improvement.</w:t>
      </w:r>
    </w:p>
    <w:p w14:paraId="40779403" w14:textId="77777777" w:rsidR="00D649DA" w:rsidRDefault="00D649DA" w:rsidP="008D4771">
      <w:pPr>
        <w:spacing w:before="100" w:beforeAutospacing="1" w:after="100" w:afterAutospacing="1"/>
        <w:jc w:val="both"/>
        <w:rPr>
          <w:rFonts w:eastAsia="Times New Roman" w:cstheme="minorHAnsi"/>
          <w:color w:val="000000"/>
          <w:sz w:val="21"/>
          <w:szCs w:val="21"/>
          <w:lang w:eastAsia="en-GB"/>
        </w:rPr>
      </w:pPr>
    </w:p>
    <w:p w14:paraId="5DAA231E" w14:textId="486E09B7" w:rsidR="008E7F44" w:rsidRPr="00F66107" w:rsidRDefault="008E7F44" w:rsidP="008D4771">
      <w:pPr>
        <w:spacing w:before="100" w:beforeAutospacing="1" w:after="100" w:afterAutospacing="1"/>
        <w:jc w:val="both"/>
        <w:rPr>
          <w:rFonts w:eastAsia="Times New Roman" w:cstheme="minorHAnsi"/>
          <w:color w:val="000000"/>
          <w:sz w:val="21"/>
          <w:szCs w:val="21"/>
          <w:u w:val="single"/>
          <w:lang w:eastAsia="en-GB"/>
        </w:rPr>
      </w:pPr>
      <w:r w:rsidRPr="00F66107">
        <w:rPr>
          <w:rFonts w:eastAsia="Times New Roman" w:cstheme="minorHAnsi"/>
          <w:color w:val="000000"/>
          <w:sz w:val="21"/>
          <w:szCs w:val="21"/>
          <w:u w:val="single"/>
          <w:lang w:eastAsia="en-GB"/>
        </w:rPr>
        <w:t>HealthConsult’s Year Two findings show:</w:t>
      </w:r>
    </w:p>
    <w:p w14:paraId="68B18C0A" w14:textId="7D227A05" w:rsidR="008E7F44" w:rsidRPr="008D4771" w:rsidRDefault="008E7F44" w:rsidP="00F66107">
      <w:pPr>
        <w:pStyle w:val="Heading2"/>
        <w:spacing w:before="0"/>
        <w:jc w:val="both"/>
        <w:rPr>
          <w:rFonts w:ascii="Calibri" w:hAnsi="Calibri" w:cs="Calibri"/>
          <w:color w:val="000000"/>
          <w:sz w:val="21"/>
          <w:szCs w:val="21"/>
        </w:rPr>
      </w:pPr>
      <w:r w:rsidRPr="008D4771">
        <w:rPr>
          <w:rStyle w:val="Strong"/>
          <w:rFonts w:ascii="Calibri" w:hAnsi="Calibri" w:cs="Calibri"/>
          <w:b w:val="0"/>
          <w:bCs w:val="0"/>
          <w:color w:val="000000"/>
          <w:sz w:val="21"/>
          <w:szCs w:val="21"/>
        </w:rPr>
        <w:t>Program Reach and Participation (July 2024 – June 2025):</w:t>
      </w:r>
    </w:p>
    <w:p w14:paraId="4D006C9C" w14:textId="34ED48B5" w:rsidR="008E7F44" w:rsidRPr="008D4771" w:rsidRDefault="008E7F44" w:rsidP="00F66107">
      <w:pPr>
        <w:pStyle w:val="NormalWeb"/>
        <w:numPr>
          <w:ilvl w:val="0"/>
          <w:numId w:val="4"/>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Trainer Mentor Program (TMP):</w:t>
      </w:r>
      <w:r w:rsidRPr="008D4771">
        <w:rPr>
          <w:rFonts w:ascii="Calibri" w:hAnsi="Calibri" w:cs="Calibri"/>
          <w:b/>
          <w:bCs/>
          <w:color w:val="000000"/>
          <w:sz w:val="21"/>
          <w:szCs w:val="21"/>
        </w:rPr>
        <w:t xml:space="preserve"> </w:t>
      </w:r>
      <w:r w:rsidRPr="008D4771">
        <w:rPr>
          <w:rStyle w:val="Strong"/>
          <w:rFonts w:ascii="Calibri" w:hAnsi="Calibri" w:cs="Calibri"/>
          <w:b w:val="0"/>
          <w:bCs w:val="0"/>
          <w:color w:val="000000"/>
          <w:sz w:val="21"/>
          <w:szCs w:val="21"/>
        </w:rPr>
        <w:t>135 aged care homes</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accepted to date, with</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over 2,000 kitchen staff participating</w:t>
      </w:r>
      <w:r w:rsidRPr="008D4771">
        <w:rPr>
          <w:rFonts w:ascii="Calibri" w:hAnsi="Calibri" w:cs="Calibri"/>
          <w:b/>
          <w:bCs/>
          <w:color w:val="000000"/>
          <w:sz w:val="21"/>
          <w:szCs w:val="21"/>
        </w:rPr>
        <w:t xml:space="preserve">. </w:t>
      </w:r>
      <w:r w:rsidRPr="008D4771">
        <w:rPr>
          <w:rStyle w:val="Strong"/>
          <w:rFonts w:ascii="Calibri" w:hAnsi="Calibri" w:cs="Calibri"/>
          <w:b w:val="0"/>
          <w:bCs w:val="0"/>
          <w:color w:val="000000"/>
          <w:sz w:val="21"/>
          <w:szCs w:val="21"/>
        </w:rPr>
        <w:t>10 homes</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graduated in 2024–25 and</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 xml:space="preserve">demand </w:t>
      </w:r>
      <w:proofErr w:type="gramStart"/>
      <w:r w:rsidRPr="008D4771">
        <w:rPr>
          <w:rStyle w:val="Strong"/>
          <w:rFonts w:ascii="Calibri" w:hAnsi="Calibri" w:cs="Calibri"/>
          <w:b w:val="0"/>
          <w:bCs w:val="0"/>
          <w:color w:val="000000"/>
          <w:sz w:val="21"/>
          <w:szCs w:val="21"/>
        </w:rPr>
        <w:t>exceeds</w:t>
      </w:r>
      <w:proofErr w:type="gramEnd"/>
      <w:r w:rsidRPr="008D4771">
        <w:rPr>
          <w:rStyle w:val="Strong"/>
          <w:rFonts w:ascii="Calibri" w:hAnsi="Calibri" w:cs="Calibri"/>
          <w:b w:val="0"/>
          <w:bCs w:val="0"/>
          <w:color w:val="000000"/>
          <w:sz w:val="21"/>
          <w:szCs w:val="21"/>
        </w:rPr>
        <w:t xml:space="preserve"> capacity</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 with</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9</w:t>
      </w:r>
      <w:r w:rsidR="00980E0E">
        <w:rPr>
          <w:rStyle w:val="Strong"/>
          <w:rFonts w:ascii="Calibri" w:hAnsi="Calibri" w:cs="Calibri"/>
          <w:b w:val="0"/>
          <w:bCs w:val="0"/>
          <w:color w:val="000000"/>
          <w:sz w:val="21"/>
          <w:szCs w:val="21"/>
        </w:rPr>
        <w:t>6</w:t>
      </w:r>
      <w:r w:rsidRPr="008D4771">
        <w:rPr>
          <w:rStyle w:val="Strong"/>
          <w:rFonts w:ascii="Calibri" w:hAnsi="Calibri" w:cs="Calibri"/>
          <w:b w:val="0"/>
          <w:bCs w:val="0"/>
          <w:color w:val="000000"/>
          <w:sz w:val="21"/>
          <w:szCs w:val="21"/>
        </w:rPr>
        <w:t xml:space="preserve"> applications</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for the most recent 15 places.</w:t>
      </w:r>
    </w:p>
    <w:p w14:paraId="2453831A" w14:textId="3D2EE011" w:rsidR="008E7F44" w:rsidRPr="008D4771" w:rsidRDefault="008E7F44" w:rsidP="00F66107">
      <w:pPr>
        <w:pStyle w:val="NormalWeb"/>
        <w:numPr>
          <w:ilvl w:val="0"/>
          <w:numId w:val="4"/>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Hubs:</w:t>
      </w:r>
      <w:r w:rsidRPr="008D4771">
        <w:rPr>
          <w:rFonts w:ascii="Calibri" w:hAnsi="Calibri" w:cs="Calibri"/>
          <w:color w:val="000000"/>
          <w:sz w:val="21"/>
          <w:szCs w:val="21"/>
        </w:rPr>
        <w:t xml:space="preserve"> </w:t>
      </w:r>
      <w:r w:rsidRPr="008D4771">
        <w:rPr>
          <w:rStyle w:val="Strong"/>
          <w:rFonts w:ascii="Calibri" w:hAnsi="Calibri" w:cs="Calibri"/>
          <w:b w:val="0"/>
          <w:bCs w:val="0"/>
          <w:color w:val="000000"/>
          <w:sz w:val="21"/>
          <w:szCs w:val="21"/>
        </w:rPr>
        <w:t>165 participants</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completed training across</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14 Hub sessions</w:t>
      </w:r>
      <w:r w:rsidRPr="008D4771">
        <w:rPr>
          <w:rFonts w:ascii="Calibri" w:hAnsi="Calibri" w:cs="Calibri"/>
          <w:color w:val="000000"/>
          <w:sz w:val="21"/>
          <w:szCs w:val="21"/>
        </w:rPr>
        <w:t>, expanding shared practice and leadership engagement.</w:t>
      </w:r>
    </w:p>
    <w:p w14:paraId="32D93B89" w14:textId="21DD88F7" w:rsidR="008E7F44" w:rsidRPr="008D4771" w:rsidRDefault="008E7F44" w:rsidP="00F66107">
      <w:pPr>
        <w:pStyle w:val="NormalWeb"/>
        <w:numPr>
          <w:ilvl w:val="0"/>
          <w:numId w:val="4"/>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Online Learning Modules (OLMs):</w:t>
      </w:r>
      <w:r w:rsidRPr="008D4771">
        <w:rPr>
          <w:rFonts w:ascii="Calibri" w:hAnsi="Calibri" w:cs="Calibri"/>
          <w:color w:val="000000"/>
          <w:sz w:val="21"/>
          <w:szCs w:val="21"/>
        </w:rPr>
        <w:t xml:space="preserve"> </w:t>
      </w:r>
      <w:r w:rsidRPr="008D4771">
        <w:rPr>
          <w:rStyle w:val="Strong"/>
          <w:rFonts w:ascii="Calibri" w:hAnsi="Calibri" w:cs="Calibri"/>
          <w:b w:val="0"/>
          <w:bCs w:val="0"/>
          <w:color w:val="000000"/>
          <w:sz w:val="21"/>
          <w:szCs w:val="21"/>
        </w:rPr>
        <w:t>3,100+ module completions</w:t>
      </w:r>
      <w:r w:rsidR="00E42B2A">
        <w:rPr>
          <w:rStyle w:val="Strong"/>
          <w:rFonts w:ascii="Calibri" w:hAnsi="Calibri" w:cs="Calibri"/>
          <w:b w:val="0"/>
          <w:bCs w:val="0"/>
          <w:color w:val="000000"/>
          <w:sz w:val="21"/>
          <w:szCs w:val="21"/>
        </w:rPr>
        <w:t xml:space="preserve"> for the 5 new modules under the grant</w:t>
      </w:r>
      <w:r w:rsidRPr="008D4771">
        <w:rPr>
          <w:rFonts w:ascii="Calibri" w:hAnsi="Calibri" w:cs="Calibri"/>
          <w:color w:val="000000"/>
          <w:sz w:val="21"/>
          <w:szCs w:val="21"/>
        </w:rPr>
        <w:t>, extending access to cooks, chefs, carers, lifestyle staff and managers.</w:t>
      </w:r>
      <w:r w:rsidR="00E42B2A">
        <w:rPr>
          <w:rFonts w:ascii="Calibri" w:hAnsi="Calibri" w:cs="Calibri"/>
          <w:color w:val="000000"/>
          <w:sz w:val="21"/>
          <w:szCs w:val="21"/>
        </w:rPr>
        <w:t xml:space="preserve"> This </w:t>
      </w:r>
      <w:r w:rsidR="003F1141">
        <w:rPr>
          <w:rFonts w:ascii="Calibri" w:hAnsi="Calibri" w:cs="Calibri"/>
          <w:color w:val="000000"/>
          <w:sz w:val="21"/>
          <w:szCs w:val="21"/>
        </w:rPr>
        <w:t>does not</w:t>
      </w:r>
      <w:r w:rsidR="00E42B2A">
        <w:rPr>
          <w:rFonts w:ascii="Calibri" w:hAnsi="Calibri" w:cs="Calibri"/>
          <w:color w:val="000000"/>
          <w:sz w:val="21"/>
          <w:szCs w:val="21"/>
        </w:rPr>
        <w:t xml:space="preserve"> include participation and completion of the existing 11 OLMs.</w:t>
      </w:r>
    </w:p>
    <w:p w14:paraId="52CDCE5C" w14:textId="471C4E36" w:rsidR="008E7F44" w:rsidRPr="008D4771" w:rsidRDefault="008E7F44" w:rsidP="00F66107">
      <w:pPr>
        <w:pStyle w:val="NormalWeb"/>
        <w:numPr>
          <w:ilvl w:val="0"/>
          <w:numId w:val="4"/>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Professional Community (PC):</w:t>
      </w:r>
      <w:r w:rsidRPr="008D4771">
        <w:rPr>
          <w:rFonts w:ascii="Calibri" w:hAnsi="Calibri" w:cs="Calibri"/>
          <w:color w:val="000000"/>
          <w:sz w:val="21"/>
          <w:szCs w:val="21"/>
        </w:rPr>
        <w:t xml:space="preserve"> </w:t>
      </w:r>
      <w:r w:rsidRPr="008D4771">
        <w:rPr>
          <w:rStyle w:val="Strong"/>
          <w:rFonts w:ascii="Calibri" w:hAnsi="Calibri" w:cs="Calibri"/>
          <w:b w:val="0"/>
          <w:bCs w:val="0"/>
          <w:color w:val="000000"/>
          <w:sz w:val="21"/>
          <w:szCs w:val="21"/>
        </w:rPr>
        <w:t>2,800+ new users</w:t>
      </w:r>
      <w:r w:rsidRPr="008D4771">
        <w:rPr>
          <w:rFonts w:ascii="Calibri" w:hAnsi="Calibri" w:cs="Calibri"/>
          <w:color w:val="000000"/>
          <w:sz w:val="21"/>
          <w:szCs w:val="21"/>
        </w:rPr>
        <w:t xml:space="preserve">, with a searchable resource and </w:t>
      </w:r>
      <w:r w:rsidR="00CB6247">
        <w:rPr>
          <w:rFonts w:ascii="Calibri" w:hAnsi="Calibri" w:cs="Calibri"/>
          <w:color w:val="000000"/>
          <w:sz w:val="21"/>
          <w:szCs w:val="21"/>
        </w:rPr>
        <w:t xml:space="preserve">launch of </w:t>
      </w:r>
      <w:r w:rsidRPr="008D4771">
        <w:rPr>
          <w:rFonts w:ascii="Calibri" w:hAnsi="Calibri" w:cs="Calibri"/>
          <w:color w:val="000000"/>
          <w:sz w:val="21"/>
          <w:szCs w:val="21"/>
        </w:rPr>
        <w:t>recipe library</w:t>
      </w:r>
      <w:r w:rsidR="00CB6247">
        <w:rPr>
          <w:rFonts w:ascii="Calibri" w:hAnsi="Calibri" w:cs="Calibri"/>
          <w:color w:val="000000"/>
          <w:sz w:val="21"/>
          <w:szCs w:val="21"/>
        </w:rPr>
        <w:t>.</w:t>
      </w:r>
    </w:p>
    <w:p w14:paraId="3C728639" w14:textId="03CF66F1" w:rsidR="008E7F44" w:rsidRPr="008D4771" w:rsidRDefault="008E7F44" w:rsidP="00F66107">
      <w:pPr>
        <w:pStyle w:val="NormalWeb"/>
        <w:numPr>
          <w:ilvl w:val="0"/>
          <w:numId w:val="4"/>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Example Best Practice Menu Project:</w:t>
      </w:r>
      <w:r w:rsidRPr="008D4771">
        <w:rPr>
          <w:rFonts w:ascii="Calibri" w:hAnsi="Calibri" w:cs="Calibri"/>
          <w:b/>
          <w:bCs/>
          <w:color w:val="000000"/>
          <w:sz w:val="21"/>
          <w:szCs w:val="21"/>
        </w:rPr>
        <w:t xml:space="preserve"> </w:t>
      </w:r>
      <w:r w:rsidRPr="008D4771">
        <w:rPr>
          <w:rStyle w:val="Strong"/>
          <w:rFonts w:ascii="Calibri" w:hAnsi="Calibri" w:cs="Calibri"/>
          <w:b w:val="0"/>
          <w:bCs w:val="0"/>
          <w:color w:val="000000"/>
          <w:sz w:val="21"/>
          <w:szCs w:val="21"/>
        </w:rPr>
        <w:t>300+ fortified, aged care-specific recipes</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under development.</w:t>
      </w:r>
    </w:p>
    <w:p w14:paraId="59D0FD1F" w14:textId="77777777" w:rsidR="00F66107" w:rsidRDefault="00F66107" w:rsidP="008D4771">
      <w:pPr>
        <w:pStyle w:val="Heading2"/>
        <w:jc w:val="both"/>
        <w:rPr>
          <w:rStyle w:val="Strong"/>
          <w:rFonts w:ascii="Calibri" w:hAnsi="Calibri" w:cs="Calibri"/>
          <w:b w:val="0"/>
          <w:bCs w:val="0"/>
          <w:color w:val="000000"/>
          <w:sz w:val="21"/>
          <w:szCs w:val="21"/>
        </w:rPr>
      </w:pPr>
    </w:p>
    <w:p w14:paraId="1CCEC891" w14:textId="36682929" w:rsidR="008E7F44" w:rsidRPr="008D4771" w:rsidRDefault="008E7F44" w:rsidP="00F66107">
      <w:pPr>
        <w:pStyle w:val="Heading2"/>
        <w:spacing w:before="0"/>
        <w:jc w:val="both"/>
        <w:rPr>
          <w:rFonts w:ascii="Calibri" w:hAnsi="Calibri" w:cs="Calibri"/>
          <w:color w:val="000000"/>
          <w:sz w:val="21"/>
          <w:szCs w:val="21"/>
        </w:rPr>
      </w:pPr>
      <w:r w:rsidRPr="008D4771">
        <w:rPr>
          <w:rStyle w:val="Strong"/>
          <w:rFonts w:ascii="Calibri" w:hAnsi="Calibri" w:cs="Calibri"/>
          <w:b w:val="0"/>
          <w:bCs w:val="0"/>
          <w:color w:val="000000"/>
          <w:sz w:val="21"/>
          <w:szCs w:val="21"/>
        </w:rPr>
        <w:t>Impact:</w:t>
      </w:r>
    </w:p>
    <w:p w14:paraId="1524CE3C" w14:textId="46760B76" w:rsidR="008E7F44" w:rsidRPr="008D4771" w:rsidRDefault="008E7F44" w:rsidP="00F66107">
      <w:pPr>
        <w:pStyle w:val="NormalWeb"/>
        <w:numPr>
          <w:ilvl w:val="0"/>
          <w:numId w:val="5"/>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Improved flavour, nutrition and presentation</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of meals</w:t>
      </w:r>
      <w:r w:rsidR="00D649DA">
        <w:rPr>
          <w:rFonts w:ascii="Calibri" w:hAnsi="Calibri" w:cs="Calibri"/>
          <w:color w:val="000000"/>
          <w:sz w:val="21"/>
          <w:szCs w:val="21"/>
        </w:rPr>
        <w:t>.</w:t>
      </w:r>
    </w:p>
    <w:p w14:paraId="4008A2D9" w14:textId="54FFD845" w:rsidR="008E7F44" w:rsidRPr="008D4771" w:rsidRDefault="00B7470C" w:rsidP="00F66107">
      <w:pPr>
        <w:pStyle w:val="NormalWeb"/>
        <w:numPr>
          <w:ilvl w:val="0"/>
          <w:numId w:val="5"/>
        </w:numPr>
        <w:spacing w:before="0" w:beforeAutospacing="0" w:after="0" w:afterAutospacing="0"/>
        <w:jc w:val="both"/>
        <w:rPr>
          <w:rFonts w:ascii="Calibri" w:hAnsi="Calibri" w:cs="Calibri"/>
          <w:b/>
          <w:bCs/>
          <w:color w:val="000000"/>
          <w:sz w:val="21"/>
          <w:szCs w:val="21"/>
        </w:rPr>
      </w:pPr>
      <w:r>
        <w:rPr>
          <w:rStyle w:val="Strong"/>
          <w:rFonts w:ascii="Calibri" w:hAnsi="Calibri" w:cs="Calibri"/>
          <w:b w:val="0"/>
          <w:bCs w:val="0"/>
          <w:color w:val="000000"/>
          <w:sz w:val="21"/>
          <w:szCs w:val="21"/>
        </w:rPr>
        <w:t>Reported r</w:t>
      </w:r>
      <w:r w:rsidR="008E7F44" w:rsidRPr="008D4771">
        <w:rPr>
          <w:rStyle w:val="Strong"/>
          <w:rFonts w:ascii="Calibri" w:hAnsi="Calibri" w:cs="Calibri"/>
          <w:b w:val="0"/>
          <w:bCs w:val="0"/>
          <w:color w:val="000000"/>
          <w:sz w:val="21"/>
          <w:szCs w:val="21"/>
        </w:rPr>
        <w:t>educed resident weight loss and falls</w:t>
      </w:r>
      <w:r w:rsidR="008E7F44" w:rsidRPr="008D4771">
        <w:rPr>
          <w:rFonts w:ascii="Calibri" w:hAnsi="Calibri" w:cs="Calibri"/>
          <w:color w:val="000000"/>
          <w:sz w:val="21"/>
          <w:szCs w:val="21"/>
        </w:rPr>
        <w:t>, and</w:t>
      </w:r>
      <w:r w:rsidR="008E7F44" w:rsidRPr="008D4771">
        <w:rPr>
          <w:rStyle w:val="apple-converted-space"/>
          <w:rFonts w:ascii="Calibri" w:hAnsi="Calibri" w:cs="Calibri"/>
          <w:color w:val="000000"/>
          <w:sz w:val="21"/>
          <w:szCs w:val="21"/>
        </w:rPr>
        <w:t> </w:t>
      </w:r>
      <w:r w:rsidR="008E7F44" w:rsidRPr="008D4771">
        <w:rPr>
          <w:rStyle w:val="Strong"/>
          <w:rFonts w:ascii="Calibri" w:hAnsi="Calibri" w:cs="Calibri"/>
          <w:b w:val="0"/>
          <w:bCs w:val="0"/>
          <w:color w:val="000000"/>
          <w:sz w:val="21"/>
          <w:szCs w:val="21"/>
        </w:rPr>
        <w:t>reduced supplement use</w:t>
      </w:r>
      <w:r w:rsidR="00D649DA">
        <w:rPr>
          <w:rStyle w:val="Strong"/>
          <w:rFonts w:ascii="Calibri" w:hAnsi="Calibri" w:cs="Calibri"/>
          <w:b w:val="0"/>
          <w:bCs w:val="0"/>
          <w:color w:val="000000"/>
          <w:sz w:val="21"/>
          <w:szCs w:val="21"/>
        </w:rPr>
        <w:t>.</w:t>
      </w:r>
    </w:p>
    <w:p w14:paraId="265C2A83" w14:textId="77777777" w:rsidR="008E7F44" w:rsidRPr="008D4771" w:rsidRDefault="008E7F44" w:rsidP="00F66107">
      <w:pPr>
        <w:pStyle w:val="NormalWeb"/>
        <w:numPr>
          <w:ilvl w:val="0"/>
          <w:numId w:val="5"/>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Increased staff skills and confidence</w:t>
      </w:r>
      <w:r w:rsidRPr="008D4771">
        <w:rPr>
          <w:rFonts w:ascii="Calibri" w:hAnsi="Calibri" w:cs="Calibri"/>
          <w:color w:val="000000"/>
          <w:sz w:val="21"/>
          <w:szCs w:val="21"/>
        </w:rPr>
        <w:t>, with:</w:t>
      </w:r>
    </w:p>
    <w:p w14:paraId="38D7A899" w14:textId="28855BB9" w:rsidR="008E7F44" w:rsidRPr="008D4771" w:rsidRDefault="008E7F44" w:rsidP="00F66107">
      <w:pPr>
        <w:pStyle w:val="NormalWeb"/>
        <w:numPr>
          <w:ilvl w:val="1"/>
          <w:numId w:val="5"/>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92%</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reporting improved ability to prepare nutritious, flavourful food</w:t>
      </w:r>
      <w:r w:rsidR="00D649DA">
        <w:rPr>
          <w:rFonts w:ascii="Calibri" w:hAnsi="Calibri" w:cs="Calibri"/>
          <w:color w:val="000000"/>
          <w:sz w:val="21"/>
          <w:szCs w:val="21"/>
        </w:rPr>
        <w:t>.</w:t>
      </w:r>
    </w:p>
    <w:p w14:paraId="446BDA96" w14:textId="1F1CA173" w:rsidR="008E7F44" w:rsidRPr="008D4771" w:rsidRDefault="008E7F44" w:rsidP="00F66107">
      <w:pPr>
        <w:pStyle w:val="NormalWeb"/>
        <w:numPr>
          <w:ilvl w:val="1"/>
          <w:numId w:val="5"/>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91%</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able to apply new skills in their kitchen</w:t>
      </w:r>
      <w:r w:rsidR="00D649DA">
        <w:rPr>
          <w:rFonts w:ascii="Calibri" w:hAnsi="Calibri" w:cs="Calibri"/>
          <w:color w:val="000000"/>
          <w:sz w:val="21"/>
          <w:szCs w:val="21"/>
        </w:rPr>
        <w:t>.</w:t>
      </w:r>
    </w:p>
    <w:p w14:paraId="78AD80A2" w14:textId="286A7911" w:rsidR="008E7F44" w:rsidRPr="008D4771" w:rsidRDefault="008E7F44" w:rsidP="00F66107">
      <w:pPr>
        <w:pStyle w:val="NormalWeb"/>
        <w:numPr>
          <w:ilvl w:val="1"/>
          <w:numId w:val="5"/>
        </w:numPr>
        <w:spacing w:before="0" w:beforeAutospacing="0" w:after="0" w:afterAutospacing="0"/>
        <w:jc w:val="both"/>
        <w:rPr>
          <w:rFonts w:ascii="Calibri" w:hAnsi="Calibri" w:cs="Calibri"/>
          <w:color w:val="000000"/>
          <w:sz w:val="21"/>
          <w:szCs w:val="21"/>
        </w:rPr>
      </w:pPr>
      <w:r w:rsidRPr="008D4771">
        <w:rPr>
          <w:rStyle w:val="Strong"/>
          <w:rFonts w:ascii="Calibri" w:hAnsi="Calibri" w:cs="Calibri"/>
          <w:b w:val="0"/>
          <w:bCs w:val="0"/>
          <w:color w:val="000000"/>
          <w:sz w:val="21"/>
          <w:szCs w:val="21"/>
        </w:rPr>
        <w:t>89%</w:t>
      </w:r>
      <w:r w:rsidRPr="008D4771">
        <w:rPr>
          <w:rStyle w:val="apple-converted-space"/>
          <w:rFonts w:ascii="Calibri" w:hAnsi="Calibri" w:cs="Calibri"/>
          <w:color w:val="000000"/>
          <w:sz w:val="21"/>
          <w:szCs w:val="21"/>
        </w:rPr>
        <w:t> </w:t>
      </w:r>
      <w:r w:rsidRPr="008D4771">
        <w:rPr>
          <w:rFonts w:ascii="Calibri" w:hAnsi="Calibri" w:cs="Calibri"/>
          <w:color w:val="000000"/>
          <w:sz w:val="21"/>
          <w:szCs w:val="21"/>
        </w:rPr>
        <w:t>reporting increased confidence to overcome barriers to change</w:t>
      </w:r>
      <w:r w:rsidR="00D649DA">
        <w:rPr>
          <w:rFonts w:ascii="Calibri" w:hAnsi="Calibri" w:cs="Calibri"/>
          <w:color w:val="000000"/>
          <w:sz w:val="21"/>
          <w:szCs w:val="21"/>
        </w:rPr>
        <w:t>.</w:t>
      </w:r>
    </w:p>
    <w:p w14:paraId="78F28FD4" w14:textId="77777777" w:rsidR="008E7F44" w:rsidRPr="008D4771" w:rsidRDefault="008E7F44" w:rsidP="008D4771">
      <w:pPr>
        <w:pStyle w:val="NormalWeb"/>
        <w:jc w:val="both"/>
        <w:rPr>
          <w:rFonts w:ascii="Calibri" w:hAnsi="Calibri" w:cs="Calibri"/>
          <w:color w:val="000000"/>
          <w:sz w:val="21"/>
          <w:szCs w:val="21"/>
        </w:rPr>
      </w:pPr>
      <w:r w:rsidRPr="008D4771">
        <w:rPr>
          <w:rFonts w:ascii="Calibri" w:hAnsi="Calibri" w:cs="Calibri"/>
          <w:color w:val="000000"/>
          <w:sz w:val="21"/>
          <w:szCs w:val="21"/>
        </w:rPr>
        <w:t>The evaluation acknowledges ongoing system-wide constraints — including workforce turnover, digital access limitations, and variability in leadership support — and confirms the Foundation has</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acted on feedback</w:t>
      </w:r>
      <w:r w:rsidRPr="008D4771">
        <w:rPr>
          <w:rFonts w:ascii="Calibri" w:hAnsi="Calibri" w:cs="Calibri"/>
          <w:color w:val="000000"/>
          <w:sz w:val="21"/>
          <w:szCs w:val="21"/>
        </w:rPr>
        <w:t>, refining:</w:t>
      </w:r>
    </w:p>
    <w:p w14:paraId="0C84C123" w14:textId="41F20E46" w:rsidR="008E7F44" w:rsidRPr="008D4771" w:rsidRDefault="008E7F44" w:rsidP="008D4771">
      <w:pPr>
        <w:pStyle w:val="NormalWeb"/>
        <w:numPr>
          <w:ilvl w:val="0"/>
          <w:numId w:val="6"/>
        </w:numPr>
        <w:jc w:val="both"/>
        <w:rPr>
          <w:rFonts w:ascii="Calibri" w:hAnsi="Calibri" w:cs="Calibri"/>
          <w:color w:val="000000"/>
          <w:sz w:val="21"/>
          <w:szCs w:val="21"/>
        </w:rPr>
      </w:pPr>
      <w:r w:rsidRPr="008D4771">
        <w:rPr>
          <w:rFonts w:ascii="Calibri" w:hAnsi="Calibri" w:cs="Calibri"/>
          <w:color w:val="000000"/>
          <w:sz w:val="21"/>
          <w:szCs w:val="21"/>
        </w:rPr>
        <w:t>Selection processes</w:t>
      </w:r>
      <w:r w:rsidR="00FF139E">
        <w:rPr>
          <w:rFonts w:ascii="Calibri" w:hAnsi="Calibri" w:cs="Calibri"/>
          <w:color w:val="000000"/>
          <w:sz w:val="21"/>
          <w:szCs w:val="21"/>
        </w:rPr>
        <w:t xml:space="preserve"> for the TMP</w:t>
      </w:r>
      <w:r w:rsidRPr="008D4771">
        <w:rPr>
          <w:rFonts w:ascii="Calibri" w:hAnsi="Calibri" w:cs="Calibri"/>
          <w:color w:val="000000"/>
          <w:sz w:val="21"/>
          <w:szCs w:val="21"/>
        </w:rPr>
        <w:t xml:space="preserve"> to ensure leadership buy-in</w:t>
      </w:r>
      <w:r w:rsidR="00D649DA">
        <w:rPr>
          <w:rFonts w:ascii="Calibri" w:hAnsi="Calibri" w:cs="Calibri"/>
          <w:color w:val="000000"/>
          <w:sz w:val="21"/>
          <w:szCs w:val="21"/>
        </w:rPr>
        <w:t>.</w:t>
      </w:r>
    </w:p>
    <w:p w14:paraId="5BF21EC6" w14:textId="3E60B38B" w:rsidR="008E7F44" w:rsidRPr="008D4771" w:rsidRDefault="008E7F44" w:rsidP="008D4771">
      <w:pPr>
        <w:pStyle w:val="NormalWeb"/>
        <w:numPr>
          <w:ilvl w:val="0"/>
          <w:numId w:val="6"/>
        </w:numPr>
        <w:jc w:val="both"/>
        <w:rPr>
          <w:rFonts w:ascii="Calibri" w:hAnsi="Calibri" w:cs="Calibri"/>
          <w:color w:val="000000"/>
          <w:sz w:val="21"/>
          <w:szCs w:val="21"/>
        </w:rPr>
      </w:pPr>
      <w:r w:rsidRPr="008D4771">
        <w:rPr>
          <w:rFonts w:ascii="Calibri" w:hAnsi="Calibri" w:cs="Calibri"/>
          <w:color w:val="000000"/>
          <w:sz w:val="21"/>
          <w:szCs w:val="21"/>
        </w:rPr>
        <w:t>Delivery formats for accessibility and digital readiness</w:t>
      </w:r>
      <w:r w:rsidR="00D649DA">
        <w:rPr>
          <w:rFonts w:ascii="Calibri" w:hAnsi="Calibri" w:cs="Calibri"/>
          <w:color w:val="000000"/>
          <w:sz w:val="21"/>
          <w:szCs w:val="21"/>
        </w:rPr>
        <w:t>.</w:t>
      </w:r>
    </w:p>
    <w:p w14:paraId="72938192" w14:textId="1ED4B2DD" w:rsidR="008E7F44" w:rsidRPr="008D4771" w:rsidRDefault="008E7F44" w:rsidP="008D4771">
      <w:pPr>
        <w:pStyle w:val="NormalWeb"/>
        <w:numPr>
          <w:ilvl w:val="0"/>
          <w:numId w:val="6"/>
        </w:numPr>
        <w:jc w:val="both"/>
        <w:rPr>
          <w:rFonts w:ascii="Calibri" w:hAnsi="Calibri" w:cs="Calibri"/>
          <w:color w:val="000000"/>
          <w:sz w:val="21"/>
          <w:szCs w:val="21"/>
        </w:rPr>
      </w:pPr>
      <w:r w:rsidRPr="008D4771">
        <w:rPr>
          <w:rFonts w:ascii="Calibri" w:hAnsi="Calibri" w:cs="Calibri"/>
          <w:color w:val="000000"/>
          <w:sz w:val="21"/>
          <w:szCs w:val="21"/>
        </w:rPr>
        <w:t>Resource and portal support to increase usability</w:t>
      </w:r>
      <w:r w:rsidR="00D649DA">
        <w:rPr>
          <w:rFonts w:ascii="Calibri" w:hAnsi="Calibri" w:cs="Calibri"/>
          <w:color w:val="000000"/>
          <w:sz w:val="21"/>
          <w:szCs w:val="21"/>
        </w:rPr>
        <w:t>.</w:t>
      </w:r>
    </w:p>
    <w:p w14:paraId="17EE073E" w14:textId="7618A8C1" w:rsidR="00FE4698" w:rsidRPr="008D4771" w:rsidRDefault="00FE4698" w:rsidP="008D4771">
      <w:pPr>
        <w:spacing w:before="100" w:beforeAutospacing="1" w:after="100" w:afterAutospacing="1"/>
        <w:jc w:val="both"/>
        <w:rPr>
          <w:rFonts w:eastAsia="Times New Roman" w:cstheme="minorHAnsi"/>
          <w:color w:val="000000"/>
          <w:sz w:val="21"/>
          <w:szCs w:val="21"/>
          <w:lang w:eastAsia="en-GB"/>
        </w:rPr>
      </w:pPr>
      <w:r w:rsidRPr="008D4771">
        <w:rPr>
          <w:rFonts w:eastAsia="Times New Roman" w:cstheme="minorHAnsi"/>
          <w:color w:val="000000"/>
          <w:sz w:val="21"/>
          <w:szCs w:val="21"/>
          <w:lang w:eastAsia="en-GB"/>
        </w:rPr>
        <w:t xml:space="preserve">The final evaluation, due next year, will </w:t>
      </w:r>
      <w:r w:rsidR="00B8422A">
        <w:rPr>
          <w:rFonts w:eastAsia="Times New Roman" w:cstheme="minorHAnsi"/>
          <w:color w:val="000000"/>
          <w:sz w:val="21"/>
          <w:szCs w:val="21"/>
          <w:lang w:eastAsia="en-GB"/>
        </w:rPr>
        <w:t xml:space="preserve">include more </w:t>
      </w:r>
      <w:r w:rsidRPr="008D4771">
        <w:rPr>
          <w:rFonts w:eastAsia="Times New Roman" w:cstheme="minorHAnsi"/>
          <w:color w:val="000000"/>
          <w:sz w:val="21"/>
          <w:szCs w:val="21"/>
          <w:lang w:eastAsia="en-GB"/>
        </w:rPr>
        <w:t>quantitative outcomes from 135 aged care homes supported through the Trainer Mentor Program, along with outcomes for homes and individuals participating in other training and support offered by the Foundation. This will include analysis from the national Resident Experience Survey (RES) and Quality Indicator (QI) programs.</w:t>
      </w:r>
    </w:p>
    <w:p w14:paraId="62E24C75" w14:textId="77777777" w:rsidR="00FE4698" w:rsidRPr="008D4771" w:rsidRDefault="00FE4698" w:rsidP="00F66107">
      <w:pPr>
        <w:pStyle w:val="NormalWeb"/>
        <w:spacing w:before="0" w:beforeAutospacing="0" w:after="0" w:afterAutospacing="0"/>
        <w:jc w:val="both"/>
        <w:rPr>
          <w:rFonts w:ascii="Calibri" w:hAnsi="Calibri" w:cs="Calibri"/>
          <w:color w:val="000000"/>
          <w:sz w:val="21"/>
          <w:szCs w:val="21"/>
        </w:rPr>
      </w:pPr>
      <w:r w:rsidRPr="008D4771">
        <w:rPr>
          <w:rFonts w:ascii="Calibri" w:hAnsi="Calibri" w:cs="Calibri"/>
          <w:color w:val="000000"/>
          <w:sz w:val="21"/>
          <w:szCs w:val="21"/>
        </w:rPr>
        <w:t>Priority areas moving forward include:</w:t>
      </w:r>
    </w:p>
    <w:p w14:paraId="1E9C20E3" w14:textId="60DE9A2E" w:rsidR="00FE4698" w:rsidRPr="008D4771" w:rsidRDefault="00FE4698" w:rsidP="00F66107">
      <w:pPr>
        <w:pStyle w:val="NormalWeb"/>
        <w:numPr>
          <w:ilvl w:val="0"/>
          <w:numId w:val="7"/>
        </w:numPr>
        <w:spacing w:before="0" w:beforeAutospacing="0" w:after="0" w:afterAutospacing="0"/>
        <w:jc w:val="both"/>
        <w:rPr>
          <w:rFonts w:ascii="Calibri" w:hAnsi="Calibri" w:cs="Calibri"/>
          <w:color w:val="000000"/>
          <w:sz w:val="21"/>
          <w:szCs w:val="21"/>
        </w:rPr>
      </w:pPr>
      <w:r w:rsidRPr="008D4771">
        <w:rPr>
          <w:rFonts w:ascii="Calibri" w:hAnsi="Calibri" w:cs="Calibri"/>
          <w:color w:val="000000"/>
          <w:sz w:val="21"/>
          <w:szCs w:val="21"/>
        </w:rPr>
        <w:t>Strengthening digital access and support for kitchen teams</w:t>
      </w:r>
      <w:r w:rsidR="00D649DA">
        <w:rPr>
          <w:rFonts w:ascii="Calibri" w:hAnsi="Calibri" w:cs="Calibri"/>
          <w:color w:val="000000"/>
          <w:sz w:val="21"/>
          <w:szCs w:val="21"/>
        </w:rPr>
        <w:t>.</w:t>
      </w:r>
    </w:p>
    <w:p w14:paraId="66A66C05" w14:textId="56CDC501" w:rsidR="00FE4698" w:rsidRPr="008D4771" w:rsidRDefault="00FE4698" w:rsidP="00F66107">
      <w:pPr>
        <w:pStyle w:val="NormalWeb"/>
        <w:numPr>
          <w:ilvl w:val="0"/>
          <w:numId w:val="7"/>
        </w:numPr>
        <w:spacing w:before="0" w:beforeAutospacing="0" w:after="0" w:afterAutospacing="0"/>
        <w:jc w:val="both"/>
        <w:rPr>
          <w:rFonts w:ascii="Calibri" w:hAnsi="Calibri" w:cs="Calibri"/>
          <w:color w:val="000000"/>
          <w:sz w:val="21"/>
          <w:szCs w:val="21"/>
        </w:rPr>
      </w:pPr>
      <w:r w:rsidRPr="008D4771">
        <w:rPr>
          <w:rFonts w:ascii="Calibri" w:hAnsi="Calibri" w:cs="Calibri"/>
          <w:color w:val="000000"/>
          <w:sz w:val="21"/>
          <w:szCs w:val="21"/>
        </w:rPr>
        <w:t>Increasing provider-level and executive leadership engagement</w:t>
      </w:r>
      <w:r w:rsidR="00D649DA">
        <w:rPr>
          <w:rFonts w:ascii="Calibri" w:hAnsi="Calibri" w:cs="Calibri"/>
          <w:color w:val="000000"/>
          <w:sz w:val="21"/>
          <w:szCs w:val="21"/>
        </w:rPr>
        <w:t>.</w:t>
      </w:r>
    </w:p>
    <w:p w14:paraId="198AE791" w14:textId="2F0B9F97" w:rsidR="00FE4698" w:rsidRPr="008D4771" w:rsidRDefault="00FE4698" w:rsidP="00F66107">
      <w:pPr>
        <w:pStyle w:val="NormalWeb"/>
        <w:numPr>
          <w:ilvl w:val="0"/>
          <w:numId w:val="7"/>
        </w:numPr>
        <w:spacing w:before="0" w:beforeAutospacing="0" w:after="0" w:afterAutospacing="0"/>
        <w:jc w:val="both"/>
        <w:rPr>
          <w:rFonts w:ascii="Calibri" w:hAnsi="Calibri" w:cs="Calibri"/>
          <w:color w:val="000000"/>
          <w:sz w:val="21"/>
          <w:szCs w:val="21"/>
        </w:rPr>
      </w:pPr>
      <w:r w:rsidRPr="008D4771">
        <w:rPr>
          <w:rFonts w:ascii="Calibri" w:hAnsi="Calibri" w:cs="Calibri"/>
          <w:color w:val="000000"/>
          <w:sz w:val="21"/>
          <w:szCs w:val="21"/>
        </w:rPr>
        <w:t>Scaling delivery to meet strong demand</w:t>
      </w:r>
      <w:r w:rsidR="00D649DA">
        <w:rPr>
          <w:rFonts w:ascii="Calibri" w:hAnsi="Calibri" w:cs="Calibri"/>
          <w:color w:val="000000"/>
          <w:sz w:val="21"/>
          <w:szCs w:val="21"/>
        </w:rPr>
        <w:t>.</w:t>
      </w:r>
    </w:p>
    <w:p w14:paraId="3A48DA5D" w14:textId="6BF630BB" w:rsidR="00FE4698" w:rsidRPr="008D4771" w:rsidRDefault="00FE4698" w:rsidP="00F66107">
      <w:pPr>
        <w:pStyle w:val="NormalWeb"/>
        <w:numPr>
          <w:ilvl w:val="0"/>
          <w:numId w:val="7"/>
        </w:numPr>
        <w:spacing w:before="0" w:beforeAutospacing="0" w:after="0" w:afterAutospacing="0"/>
        <w:jc w:val="both"/>
        <w:rPr>
          <w:rFonts w:ascii="Calibri" w:hAnsi="Calibri" w:cs="Calibri"/>
          <w:b/>
          <w:bCs/>
          <w:color w:val="000000"/>
          <w:sz w:val="21"/>
          <w:szCs w:val="21"/>
        </w:rPr>
      </w:pPr>
      <w:r w:rsidRPr="008D4771">
        <w:rPr>
          <w:rFonts w:ascii="Calibri" w:hAnsi="Calibri" w:cs="Calibri"/>
          <w:color w:val="000000"/>
          <w:sz w:val="21"/>
          <w:szCs w:val="21"/>
        </w:rPr>
        <w:t>Alignment with the strengthened</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Aged Care Quality Standards</w:t>
      </w:r>
      <w:r w:rsidRPr="008D4771">
        <w:rPr>
          <w:rFonts w:ascii="Calibri" w:hAnsi="Calibri" w:cs="Calibri"/>
          <w:color w:val="000000"/>
          <w:sz w:val="21"/>
          <w:szCs w:val="21"/>
        </w:rPr>
        <w:t>, particularly</w:t>
      </w:r>
      <w:r w:rsidRPr="008D4771">
        <w:rPr>
          <w:rStyle w:val="apple-converted-space"/>
          <w:rFonts w:ascii="Calibri" w:hAnsi="Calibri" w:cs="Calibri"/>
          <w:color w:val="000000"/>
          <w:sz w:val="21"/>
          <w:szCs w:val="21"/>
        </w:rPr>
        <w:t> </w:t>
      </w:r>
      <w:r w:rsidRPr="008D4771">
        <w:rPr>
          <w:rStyle w:val="Strong"/>
          <w:rFonts w:ascii="Calibri" w:hAnsi="Calibri" w:cs="Calibri"/>
          <w:b w:val="0"/>
          <w:bCs w:val="0"/>
          <w:color w:val="000000"/>
          <w:sz w:val="21"/>
          <w:szCs w:val="21"/>
        </w:rPr>
        <w:t>Standard 6: Food and Nutrition</w:t>
      </w:r>
      <w:r w:rsidR="00D649DA">
        <w:rPr>
          <w:rStyle w:val="Strong"/>
          <w:rFonts w:ascii="Calibri" w:hAnsi="Calibri" w:cs="Calibri"/>
          <w:b w:val="0"/>
          <w:bCs w:val="0"/>
          <w:color w:val="000000"/>
          <w:sz w:val="21"/>
          <w:szCs w:val="21"/>
        </w:rPr>
        <w:t>.</w:t>
      </w:r>
    </w:p>
    <w:p w14:paraId="6279CA78" w14:textId="50685F14" w:rsidR="00F66107" w:rsidRDefault="00FE4698" w:rsidP="008D4771">
      <w:pPr>
        <w:spacing w:beforeAutospacing="1" w:afterAutospacing="1"/>
        <w:jc w:val="both"/>
        <w:rPr>
          <w:rFonts w:eastAsia="Times New Roman" w:cstheme="minorHAnsi"/>
          <w:color w:val="000000"/>
          <w:sz w:val="21"/>
          <w:szCs w:val="21"/>
          <w:lang w:eastAsia="en-GB"/>
        </w:rPr>
      </w:pPr>
      <w:r w:rsidRPr="008D4771">
        <w:rPr>
          <w:rFonts w:eastAsia="Times New Roman" w:cstheme="minorHAnsi"/>
          <w:color w:val="000000"/>
          <w:sz w:val="21"/>
          <w:szCs w:val="21"/>
          <w:lang w:eastAsia="en-GB"/>
        </w:rPr>
        <w:t>“Food and dining are central to quality of life in aged care,” said Jane Mussared, Chief Executive Officer of the Maggie Beer Foundation. “We’re encouraged by the skills, confidence and pride we’re seeing in kitchen teams — and by residents enjoying meals more. We welcome the evaluation’s recommendations and will continue working with providers and government to embed these improvements at scale.”</w:t>
      </w:r>
    </w:p>
    <w:p w14:paraId="4F1453A3" w14:textId="47D50076" w:rsidR="00B90C48" w:rsidRPr="008D4771" w:rsidRDefault="00B90C48" w:rsidP="008D4771">
      <w:pPr>
        <w:spacing w:beforeAutospacing="1" w:afterAutospacing="1"/>
        <w:jc w:val="both"/>
        <w:rPr>
          <w:rFonts w:eastAsia="Times New Roman" w:cstheme="minorHAnsi"/>
          <w:color w:val="000000"/>
          <w:sz w:val="21"/>
          <w:szCs w:val="21"/>
          <w:lang w:eastAsia="en-GB"/>
        </w:rPr>
      </w:pPr>
      <w:r>
        <w:rPr>
          <w:rFonts w:eastAsia="Times New Roman" w:cstheme="minorHAnsi"/>
          <w:color w:val="000000"/>
          <w:sz w:val="21"/>
          <w:szCs w:val="21"/>
          <w:lang w:eastAsia="en-GB"/>
        </w:rPr>
        <w:t xml:space="preserve">Please click </w:t>
      </w:r>
      <w:hyperlink r:id="rId12" w:history="1">
        <w:r w:rsidRPr="00B90C48">
          <w:rPr>
            <w:rStyle w:val="Hyperlink"/>
            <w:rFonts w:eastAsia="Times New Roman" w:cstheme="minorHAnsi"/>
            <w:sz w:val="21"/>
            <w:szCs w:val="21"/>
            <w:lang w:eastAsia="en-GB"/>
          </w:rPr>
          <w:t>here</w:t>
        </w:r>
      </w:hyperlink>
      <w:r>
        <w:rPr>
          <w:rFonts w:eastAsia="Times New Roman" w:cstheme="minorHAnsi"/>
          <w:color w:val="000000"/>
          <w:sz w:val="21"/>
          <w:szCs w:val="21"/>
          <w:lang w:eastAsia="en-GB"/>
        </w:rPr>
        <w:t xml:space="preserve"> for full evaluation report.</w:t>
      </w:r>
    </w:p>
    <w:p w14:paraId="674A6F3C" w14:textId="77777777" w:rsidR="00FE4698" w:rsidRPr="000D61A6" w:rsidRDefault="003F1141" w:rsidP="00FE4698">
      <w:pPr>
        <w:rPr>
          <w:rFonts w:eastAsia="Times New Roman" w:cstheme="minorHAnsi"/>
          <w:color w:val="000000"/>
          <w:sz w:val="22"/>
          <w:szCs w:val="22"/>
          <w:lang w:eastAsia="en-GB"/>
        </w:rPr>
      </w:pPr>
      <w:r>
        <w:rPr>
          <w:rFonts w:eastAsia="Times New Roman" w:cstheme="minorHAnsi"/>
          <w:noProof/>
          <w:color w:val="000000"/>
          <w:sz w:val="22"/>
          <w:szCs w:val="22"/>
          <w:lang w:eastAsia="en-GB"/>
        </w:rPr>
        <w:pict w14:anchorId="20FCE1B8">
          <v:rect id="_x0000_i1025" alt="" style="width:451.3pt;height:.05pt;mso-width-percent:0;mso-height-percent:0;mso-width-percent:0;mso-height-percent:0" o:hralign="center" o:hrstd="t" o:hr="t" fillcolor="#a0a0a0" stroked="f"/>
        </w:pict>
      </w:r>
    </w:p>
    <w:p w14:paraId="2D9A3594" w14:textId="77777777" w:rsidR="00FE4698" w:rsidRPr="000D61A6" w:rsidRDefault="00FE4698" w:rsidP="00FE4698">
      <w:pPr>
        <w:outlineLvl w:val="2"/>
        <w:rPr>
          <w:rFonts w:eastAsia="Times New Roman" w:cstheme="minorHAnsi"/>
          <w:b/>
          <w:bCs/>
          <w:color w:val="000000"/>
          <w:sz w:val="20"/>
          <w:szCs w:val="20"/>
          <w:lang w:eastAsia="en-GB"/>
        </w:rPr>
      </w:pPr>
      <w:r w:rsidRPr="000D61A6">
        <w:rPr>
          <w:rFonts w:eastAsia="Times New Roman" w:cstheme="minorHAnsi"/>
          <w:b/>
          <w:bCs/>
          <w:color w:val="000000"/>
          <w:sz w:val="20"/>
          <w:szCs w:val="20"/>
          <w:lang w:eastAsia="en-GB"/>
        </w:rPr>
        <w:t xml:space="preserve">About HealthConsult </w:t>
      </w:r>
    </w:p>
    <w:p w14:paraId="10062E02" w14:textId="23D537C5" w:rsidR="00FE4698" w:rsidRDefault="00FE4698" w:rsidP="00FE4698">
      <w:pPr>
        <w:rPr>
          <w:rFonts w:eastAsia="Times New Roman" w:cstheme="minorHAnsi"/>
          <w:color w:val="0000FF"/>
          <w:sz w:val="20"/>
          <w:szCs w:val="20"/>
          <w:u w:val="single"/>
          <w:lang w:eastAsia="en-GB"/>
        </w:rPr>
      </w:pPr>
      <w:r w:rsidRPr="000D61A6">
        <w:rPr>
          <w:rFonts w:eastAsia="Times New Roman" w:cstheme="minorHAnsi"/>
          <w:color w:val="000000"/>
          <w:sz w:val="20"/>
          <w:szCs w:val="20"/>
          <w:lang w:eastAsia="en-GB"/>
        </w:rPr>
        <w:t>HealthConsult is an Australian consulting firm with nearly two decades of experience providing independent, evidence-based evaluations for government programs across health</w:t>
      </w:r>
      <w:r w:rsidR="00B8422A">
        <w:rPr>
          <w:rFonts w:eastAsia="Times New Roman" w:cstheme="minorHAnsi"/>
          <w:color w:val="000000"/>
          <w:sz w:val="20"/>
          <w:szCs w:val="20"/>
          <w:lang w:eastAsia="en-GB"/>
        </w:rPr>
        <w:t>, disability</w:t>
      </w:r>
      <w:r w:rsidRPr="000D61A6">
        <w:rPr>
          <w:rFonts w:eastAsia="Times New Roman" w:cstheme="minorHAnsi"/>
          <w:color w:val="000000"/>
          <w:sz w:val="20"/>
          <w:szCs w:val="20"/>
          <w:lang w:eastAsia="en-GB"/>
        </w:rPr>
        <w:t xml:space="preserve"> and aged care. The firm was engaged in 2023 to evaluate the </w:t>
      </w:r>
      <w:r>
        <w:rPr>
          <w:rFonts w:eastAsia="Times New Roman" w:cstheme="minorHAnsi"/>
          <w:color w:val="000000"/>
          <w:sz w:val="20"/>
          <w:szCs w:val="20"/>
          <w:lang w:eastAsia="en-GB"/>
        </w:rPr>
        <w:t>Maggie Beer Foundation</w:t>
      </w:r>
      <w:r w:rsidRPr="000D61A6">
        <w:rPr>
          <w:rFonts w:eastAsia="Times New Roman" w:cstheme="minorHAnsi"/>
          <w:color w:val="000000"/>
          <w:sz w:val="20"/>
          <w:szCs w:val="20"/>
          <w:lang w:eastAsia="en-GB"/>
        </w:rPr>
        <w:t xml:space="preserve"> program.</w:t>
      </w:r>
      <w:r w:rsidRPr="000D61A6">
        <w:rPr>
          <w:rFonts w:eastAsia="Times New Roman" w:cstheme="minorHAnsi"/>
          <w:color w:val="000000"/>
          <w:sz w:val="20"/>
          <w:szCs w:val="20"/>
          <w:lang w:eastAsia="en-GB"/>
        </w:rPr>
        <w:br/>
      </w:r>
      <w:hyperlink r:id="rId13" w:tgtFrame="_new" w:history="1">
        <w:r w:rsidRPr="000D61A6">
          <w:rPr>
            <w:rFonts w:eastAsia="Times New Roman" w:cstheme="minorHAnsi"/>
            <w:color w:val="0000FF"/>
            <w:sz w:val="20"/>
            <w:szCs w:val="20"/>
            <w:u w:val="single"/>
            <w:lang w:eastAsia="en-GB"/>
          </w:rPr>
          <w:t>www.healthconsult.com.au</w:t>
        </w:r>
      </w:hyperlink>
    </w:p>
    <w:p w14:paraId="581FC1E4" w14:textId="77777777" w:rsidR="00FE4698" w:rsidRPr="000D61A6" w:rsidRDefault="00FE4698" w:rsidP="00FE4698">
      <w:pPr>
        <w:rPr>
          <w:rFonts w:eastAsia="Times New Roman" w:cstheme="minorHAnsi"/>
          <w:color w:val="000000"/>
          <w:sz w:val="20"/>
          <w:szCs w:val="20"/>
          <w:lang w:eastAsia="en-GB"/>
        </w:rPr>
      </w:pPr>
    </w:p>
    <w:p w14:paraId="555E2663" w14:textId="77777777" w:rsidR="00FE4698" w:rsidRPr="000D61A6" w:rsidRDefault="00FE4698" w:rsidP="00FE4698">
      <w:pPr>
        <w:outlineLvl w:val="2"/>
        <w:rPr>
          <w:rFonts w:eastAsia="Times New Roman" w:cstheme="minorHAnsi"/>
          <w:b/>
          <w:bCs/>
          <w:color w:val="000000"/>
          <w:sz w:val="20"/>
          <w:szCs w:val="20"/>
          <w:lang w:eastAsia="en-GB"/>
        </w:rPr>
      </w:pPr>
      <w:r w:rsidRPr="000D61A6">
        <w:rPr>
          <w:rFonts w:eastAsia="Times New Roman" w:cstheme="minorHAnsi"/>
          <w:b/>
          <w:bCs/>
          <w:color w:val="000000"/>
          <w:sz w:val="20"/>
          <w:szCs w:val="20"/>
          <w:lang w:eastAsia="en-GB"/>
        </w:rPr>
        <w:t>About the Evaluation</w:t>
      </w:r>
    </w:p>
    <w:p w14:paraId="74814A3F" w14:textId="48A64266" w:rsidR="00FE4698" w:rsidRPr="002D1E9E" w:rsidRDefault="00FE4698" w:rsidP="002D1E9E">
      <w:pPr>
        <w:rPr>
          <w:rFonts w:eastAsia="Times New Roman" w:cstheme="minorHAnsi"/>
          <w:color w:val="000000"/>
          <w:sz w:val="20"/>
          <w:szCs w:val="20"/>
          <w:lang w:eastAsia="en-GB"/>
        </w:rPr>
      </w:pPr>
      <w:r w:rsidRPr="000D61A6">
        <w:rPr>
          <w:rFonts w:eastAsia="Times New Roman" w:cstheme="minorHAnsi"/>
          <w:color w:val="000000"/>
          <w:sz w:val="20"/>
          <w:szCs w:val="20"/>
          <w:lang w:eastAsia="en-GB"/>
        </w:rPr>
        <w:t xml:space="preserve">The mixed-method evaluation includes participant and trainer surveys, case studies, site observations, stakeholder interviews and analysis of national data sources. The Year Two report covers data </w:t>
      </w:r>
      <w:r w:rsidR="00980E0E">
        <w:rPr>
          <w:rFonts w:eastAsia="Times New Roman" w:cstheme="minorHAnsi"/>
          <w:color w:val="000000"/>
          <w:sz w:val="20"/>
          <w:szCs w:val="20"/>
          <w:lang w:eastAsia="en-GB"/>
        </w:rPr>
        <w:t xml:space="preserve">from 1 July 2024 </w:t>
      </w:r>
      <w:r w:rsidRPr="000D61A6">
        <w:rPr>
          <w:rFonts w:eastAsia="Times New Roman" w:cstheme="minorHAnsi"/>
          <w:color w:val="000000"/>
          <w:sz w:val="20"/>
          <w:szCs w:val="20"/>
          <w:lang w:eastAsia="en-GB"/>
        </w:rPr>
        <w:t>to 30 June 2025.</w:t>
      </w:r>
    </w:p>
    <w:p w14:paraId="12FCB9EA" w14:textId="77777777" w:rsidR="00F66107" w:rsidRDefault="00F66107" w:rsidP="00FE4698">
      <w:pPr>
        <w:rPr>
          <w:rFonts w:cstheme="minorHAnsi"/>
          <w:b/>
          <w:bCs/>
          <w:sz w:val="20"/>
          <w:szCs w:val="20"/>
        </w:rPr>
      </w:pPr>
    </w:p>
    <w:p w14:paraId="2AB417F9" w14:textId="77777777" w:rsidR="002D1E9E" w:rsidRDefault="002D1E9E" w:rsidP="00FE4698">
      <w:pPr>
        <w:rPr>
          <w:rFonts w:cstheme="minorHAnsi"/>
          <w:b/>
          <w:bCs/>
          <w:sz w:val="20"/>
          <w:szCs w:val="20"/>
        </w:rPr>
      </w:pPr>
    </w:p>
    <w:p w14:paraId="13C927F7" w14:textId="77777777" w:rsidR="002D1E9E" w:rsidRDefault="002D1E9E" w:rsidP="00FE4698">
      <w:pPr>
        <w:rPr>
          <w:rFonts w:cstheme="minorHAnsi"/>
          <w:b/>
          <w:bCs/>
          <w:sz w:val="20"/>
          <w:szCs w:val="20"/>
        </w:rPr>
      </w:pPr>
    </w:p>
    <w:p w14:paraId="1F0A38B7" w14:textId="5A088452" w:rsidR="00FE4698" w:rsidRPr="002F2436" w:rsidRDefault="00FE4698" w:rsidP="00FE4698">
      <w:pPr>
        <w:rPr>
          <w:rFonts w:cstheme="minorHAnsi"/>
          <w:b/>
          <w:bCs/>
          <w:sz w:val="20"/>
          <w:szCs w:val="20"/>
        </w:rPr>
      </w:pPr>
      <w:r w:rsidRPr="002F2436">
        <w:rPr>
          <w:rFonts w:cstheme="minorHAnsi"/>
          <w:b/>
          <w:bCs/>
          <w:sz w:val="20"/>
          <w:szCs w:val="20"/>
        </w:rPr>
        <w:t>About The Maggie Beer Foundation</w:t>
      </w:r>
    </w:p>
    <w:p w14:paraId="662E989F" w14:textId="77777777" w:rsidR="00FE4698" w:rsidRPr="002F2436" w:rsidRDefault="00FE4698" w:rsidP="00FE4698">
      <w:pPr>
        <w:jc w:val="both"/>
        <w:rPr>
          <w:rFonts w:cstheme="minorHAnsi"/>
          <w:sz w:val="20"/>
          <w:szCs w:val="20"/>
        </w:rPr>
      </w:pPr>
      <w:r w:rsidRPr="002F2436">
        <w:rPr>
          <w:rFonts w:cstheme="minorHAnsi"/>
          <w:color w:val="000000" w:themeColor="text1"/>
          <w:sz w:val="20"/>
          <w:szCs w:val="20"/>
        </w:rPr>
        <w:t xml:space="preserve">Founded by Maggie Beer AO in 2014, the Maggie Beer Foundation is an Australian charity dedicated to raising the priority of good food for older Australians. The Foundation works to transform eating into experiences that nourish body and soul. Through our evidence-based programs, projects, advocacy and training, the Foundation collaborates with older people and their </w:t>
      </w:r>
      <w:proofErr w:type="spellStart"/>
      <w:r w:rsidRPr="002F2436">
        <w:rPr>
          <w:rFonts w:cstheme="minorHAnsi"/>
          <w:color w:val="000000" w:themeColor="text1"/>
          <w:sz w:val="20"/>
          <w:szCs w:val="20"/>
        </w:rPr>
        <w:t>carers</w:t>
      </w:r>
      <w:proofErr w:type="spellEnd"/>
      <w:r w:rsidRPr="002F2436">
        <w:rPr>
          <w:rFonts w:cstheme="minorHAnsi"/>
          <w:color w:val="000000" w:themeColor="text1"/>
          <w:sz w:val="20"/>
          <w:szCs w:val="20"/>
        </w:rPr>
        <w:t xml:space="preserve">, cooks and chefs, care providers, researchers, clinicians, policymakers, and communities to improve understanding of, and access to, good food as we age. Our work includes a range of professional education programs for aged care cooks and chefs, the development of resources and standards that support quality food experiences in aged care and, now, the </w:t>
      </w:r>
      <w:proofErr w:type="spellStart"/>
      <w:r w:rsidRPr="002F2436">
        <w:rPr>
          <w:rFonts w:cstheme="minorHAnsi"/>
          <w:color w:val="000000" w:themeColor="text1"/>
          <w:sz w:val="20"/>
          <w:szCs w:val="20"/>
        </w:rPr>
        <w:t>HomePlate</w:t>
      </w:r>
      <w:proofErr w:type="spellEnd"/>
      <w:r w:rsidRPr="002F2436">
        <w:rPr>
          <w:rFonts w:cstheme="minorHAnsi"/>
          <w:color w:val="000000" w:themeColor="text1"/>
          <w:sz w:val="20"/>
          <w:szCs w:val="20"/>
        </w:rPr>
        <w:t xml:space="preserve"> project that explores barriers to eating well we age.</w:t>
      </w:r>
    </w:p>
    <w:p w14:paraId="24A20B4B" w14:textId="77777777" w:rsidR="00FE4698" w:rsidRPr="000D61A6" w:rsidRDefault="003F1141" w:rsidP="00FE4698">
      <w:pPr>
        <w:rPr>
          <w:rFonts w:eastAsia="Times New Roman" w:cstheme="minorHAnsi"/>
          <w:color w:val="000000"/>
          <w:sz w:val="22"/>
          <w:szCs w:val="22"/>
          <w:lang w:eastAsia="en-GB"/>
        </w:rPr>
      </w:pPr>
      <w:r>
        <w:rPr>
          <w:rFonts w:eastAsia="Times New Roman" w:cstheme="minorHAnsi"/>
          <w:noProof/>
          <w:color w:val="000000"/>
          <w:sz w:val="22"/>
          <w:szCs w:val="22"/>
          <w:lang w:eastAsia="en-GB"/>
        </w:rPr>
        <w:pict w14:anchorId="6F403EFD">
          <v:rect id="_x0000_i1026" alt="" style="width:451.3pt;height:.05pt;mso-width-percent:0;mso-height-percent:0;mso-width-percent:0;mso-height-percent:0" o:hralign="center" o:hrstd="t" o:hr="t" fillcolor="#a0a0a0" stroked="f"/>
        </w:pict>
      </w:r>
    </w:p>
    <w:p w14:paraId="7797F590" w14:textId="77777777" w:rsidR="00FE4698" w:rsidRPr="00FF139E" w:rsidRDefault="00FE4698" w:rsidP="00FE4698">
      <w:pPr>
        <w:spacing w:before="100" w:beforeAutospacing="1" w:after="100" w:afterAutospacing="1"/>
        <w:outlineLvl w:val="2"/>
        <w:rPr>
          <w:rFonts w:eastAsia="Times New Roman" w:cstheme="minorHAnsi"/>
          <w:b/>
          <w:bCs/>
          <w:color w:val="000000"/>
          <w:sz w:val="20"/>
          <w:szCs w:val="20"/>
          <w:u w:val="single"/>
          <w:lang w:eastAsia="en-GB"/>
        </w:rPr>
      </w:pPr>
      <w:r w:rsidRPr="00FF139E">
        <w:rPr>
          <w:rFonts w:eastAsia="Times New Roman" w:cstheme="minorHAnsi"/>
          <w:b/>
          <w:bCs/>
          <w:color w:val="000000"/>
          <w:sz w:val="20"/>
          <w:szCs w:val="20"/>
          <w:u w:val="single"/>
          <w:lang w:eastAsia="en-GB"/>
        </w:rPr>
        <w:t>Media Contacts</w:t>
      </w:r>
    </w:p>
    <w:p w14:paraId="1BB493CB" w14:textId="77777777" w:rsidR="00FE4698" w:rsidRPr="00FF139E" w:rsidRDefault="00FE4698" w:rsidP="00FE4698">
      <w:pPr>
        <w:rPr>
          <w:rFonts w:eastAsia="Times New Roman" w:cstheme="minorHAnsi"/>
          <w:color w:val="000000"/>
          <w:sz w:val="20"/>
          <w:szCs w:val="20"/>
          <w:lang w:eastAsia="en-GB"/>
        </w:rPr>
      </w:pPr>
      <w:r w:rsidRPr="00FF139E">
        <w:rPr>
          <w:rFonts w:eastAsia="Times New Roman" w:cstheme="minorHAnsi"/>
          <w:b/>
          <w:bCs/>
          <w:color w:val="000000"/>
          <w:sz w:val="20"/>
          <w:szCs w:val="20"/>
          <w:lang w:eastAsia="en-GB"/>
        </w:rPr>
        <w:t>Melinda Durston</w:t>
      </w:r>
      <w:r w:rsidRPr="00FF139E">
        <w:rPr>
          <w:rFonts w:eastAsia="Times New Roman" w:cstheme="minorHAnsi"/>
          <w:b/>
          <w:bCs/>
          <w:color w:val="000000"/>
          <w:sz w:val="20"/>
          <w:szCs w:val="20"/>
          <w:lang w:eastAsia="en-GB"/>
        </w:rPr>
        <w:tab/>
      </w:r>
      <w:r w:rsidRPr="00FF139E">
        <w:rPr>
          <w:rFonts w:eastAsia="Times New Roman" w:cstheme="minorHAnsi"/>
          <w:b/>
          <w:bCs/>
          <w:color w:val="000000"/>
          <w:sz w:val="20"/>
          <w:szCs w:val="20"/>
          <w:lang w:eastAsia="en-GB"/>
        </w:rPr>
        <w:tab/>
      </w:r>
      <w:r w:rsidRPr="00FF139E">
        <w:rPr>
          <w:rFonts w:eastAsia="Times New Roman" w:cstheme="minorHAnsi"/>
          <w:b/>
          <w:bCs/>
          <w:color w:val="000000"/>
          <w:sz w:val="20"/>
          <w:szCs w:val="20"/>
          <w:lang w:eastAsia="en-GB"/>
        </w:rPr>
        <w:tab/>
      </w:r>
      <w:r w:rsidRPr="00FF139E">
        <w:rPr>
          <w:rFonts w:eastAsia="Times New Roman" w:cstheme="minorHAnsi"/>
          <w:b/>
          <w:bCs/>
          <w:color w:val="000000"/>
          <w:sz w:val="20"/>
          <w:szCs w:val="20"/>
          <w:lang w:eastAsia="en-GB"/>
        </w:rPr>
        <w:tab/>
      </w:r>
      <w:r w:rsidRPr="00FF139E">
        <w:rPr>
          <w:rFonts w:eastAsia="Times New Roman" w:cstheme="minorHAnsi"/>
          <w:b/>
          <w:bCs/>
          <w:color w:val="000000"/>
          <w:sz w:val="20"/>
          <w:szCs w:val="20"/>
          <w:lang w:eastAsia="en-GB"/>
        </w:rPr>
        <w:tab/>
      </w:r>
      <w:r w:rsidRPr="00FF139E">
        <w:rPr>
          <w:rFonts w:eastAsia="Times New Roman" w:cstheme="minorHAnsi"/>
          <w:b/>
          <w:bCs/>
          <w:color w:val="000000"/>
          <w:sz w:val="20"/>
          <w:szCs w:val="20"/>
          <w:lang w:eastAsia="en-GB"/>
        </w:rPr>
        <w:tab/>
        <w:t xml:space="preserve">Dr Lisa Fodero, </w:t>
      </w:r>
      <w:r w:rsidRPr="00FF139E">
        <w:rPr>
          <w:rFonts w:eastAsia="Times New Roman" w:cstheme="minorHAnsi"/>
          <w:color w:val="000000"/>
          <w:sz w:val="20"/>
          <w:szCs w:val="20"/>
          <w:lang w:eastAsia="en-GB"/>
        </w:rPr>
        <w:t>Managing Partner</w:t>
      </w:r>
    </w:p>
    <w:p w14:paraId="79969D99" w14:textId="77777777" w:rsidR="00FE4698" w:rsidRPr="00FF139E" w:rsidRDefault="00FE4698" w:rsidP="00FE4698">
      <w:pPr>
        <w:rPr>
          <w:rFonts w:eastAsia="Times New Roman" w:cstheme="minorHAnsi"/>
          <w:color w:val="000000"/>
          <w:sz w:val="20"/>
          <w:szCs w:val="20"/>
          <w:lang w:eastAsia="en-GB"/>
        </w:rPr>
      </w:pPr>
      <w:r w:rsidRPr="00FF139E">
        <w:rPr>
          <w:rFonts w:eastAsia="Times New Roman" w:cstheme="minorHAnsi"/>
          <w:color w:val="000000"/>
          <w:sz w:val="20"/>
          <w:szCs w:val="20"/>
          <w:lang w:eastAsia="en-GB"/>
        </w:rPr>
        <w:t>Melting Pot Communications</w:t>
      </w:r>
      <w:r w:rsidRPr="00FF139E">
        <w:rPr>
          <w:rFonts w:eastAsia="Times New Roman" w:cstheme="minorHAnsi"/>
          <w:color w:val="000000"/>
          <w:sz w:val="20"/>
          <w:szCs w:val="20"/>
          <w:lang w:eastAsia="en-GB"/>
        </w:rPr>
        <w:tab/>
      </w:r>
      <w:r w:rsidRPr="00FF139E">
        <w:rPr>
          <w:rFonts w:eastAsia="Times New Roman" w:cstheme="minorHAnsi"/>
          <w:color w:val="000000"/>
          <w:sz w:val="20"/>
          <w:szCs w:val="20"/>
          <w:lang w:eastAsia="en-GB"/>
        </w:rPr>
        <w:tab/>
      </w:r>
      <w:r w:rsidRPr="00FF139E">
        <w:rPr>
          <w:rFonts w:eastAsia="Times New Roman" w:cstheme="minorHAnsi"/>
          <w:color w:val="000000"/>
          <w:sz w:val="20"/>
          <w:szCs w:val="20"/>
          <w:lang w:eastAsia="en-GB"/>
        </w:rPr>
        <w:tab/>
      </w:r>
      <w:r w:rsidRPr="00FF139E">
        <w:rPr>
          <w:rFonts w:eastAsia="Times New Roman" w:cstheme="minorHAnsi"/>
          <w:color w:val="000000"/>
          <w:sz w:val="20"/>
          <w:szCs w:val="20"/>
          <w:lang w:eastAsia="en-GB"/>
        </w:rPr>
        <w:tab/>
        <w:t>HealthConsult Pty Ltd</w:t>
      </w:r>
      <w:r w:rsidRPr="00FF139E">
        <w:rPr>
          <w:rFonts w:eastAsia="Times New Roman" w:cstheme="minorHAnsi"/>
          <w:color w:val="000000"/>
          <w:sz w:val="20"/>
          <w:szCs w:val="20"/>
          <w:lang w:eastAsia="en-GB"/>
        </w:rPr>
        <w:br/>
      </w:r>
      <w:hyperlink r:id="rId14" w:history="1">
        <w:r w:rsidRPr="00FF139E">
          <w:rPr>
            <w:rStyle w:val="Hyperlink"/>
            <w:rFonts w:eastAsia="Times New Roman" w:cstheme="minorHAnsi"/>
            <w:sz w:val="20"/>
            <w:szCs w:val="20"/>
            <w:lang w:eastAsia="en-GB"/>
          </w:rPr>
          <w:t>melinda@meltingpotcommunications.com.au</w:t>
        </w:r>
      </w:hyperlink>
      <w:r>
        <w:rPr>
          <w:rStyle w:val="Hyperlink"/>
          <w:rFonts w:eastAsia="Times New Roman" w:cstheme="minorHAnsi"/>
          <w:sz w:val="20"/>
          <w:szCs w:val="20"/>
          <w:u w:val="none"/>
          <w:lang w:eastAsia="en-GB"/>
        </w:rPr>
        <w:tab/>
      </w:r>
      <w:r>
        <w:rPr>
          <w:rStyle w:val="Hyperlink"/>
          <w:rFonts w:eastAsia="Times New Roman" w:cstheme="minorHAnsi"/>
          <w:sz w:val="20"/>
          <w:szCs w:val="20"/>
          <w:u w:val="none"/>
          <w:lang w:eastAsia="en-GB"/>
        </w:rPr>
        <w:tab/>
        <w:t>lisa.fodero@healthconsult.com.au</w:t>
      </w:r>
    </w:p>
    <w:p w14:paraId="2228E208" w14:textId="77777777" w:rsidR="00FE4698" w:rsidRPr="000D61A6" w:rsidRDefault="00FE4698" w:rsidP="00FE4698">
      <w:pPr>
        <w:rPr>
          <w:rFonts w:eastAsia="Times New Roman" w:cstheme="minorHAnsi"/>
          <w:color w:val="000000"/>
          <w:sz w:val="20"/>
          <w:szCs w:val="20"/>
          <w:lang w:eastAsia="en-GB"/>
        </w:rPr>
      </w:pPr>
      <w:r>
        <w:rPr>
          <w:rFonts w:eastAsia="Times New Roman" w:cstheme="minorHAnsi"/>
          <w:color w:val="000000"/>
          <w:sz w:val="20"/>
          <w:szCs w:val="20"/>
          <w:lang w:eastAsia="en-GB"/>
        </w:rPr>
        <w:t>0431 934 271</w:t>
      </w:r>
    </w:p>
    <w:p w14:paraId="157412AB" w14:textId="77777777" w:rsidR="00FE4698" w:rsidRPr="001E3143" w:rsidRDefault="00FE4698" w:rsidP="00FE4698">
      <w:pPr>
        <w:rPr>
          <w:rFonts w:cstheme="minorHAnsi"/>
          <w:sz w:val="20"/>
          <w:szCs w:val="20"/>
        </w:rPr>
      </w:pPr>
    </w:p>
    <w:p w14:paraId="7F2FC063" w14:textId="77777777" w:rsidR="00EF51CD" w:rsidRPr="001E3143" w:rsidRDefault="00EF51CD" w:rsidP="00FE4698">
      <w:pPr>
        <w:pStyle w:val="NormalWeb"/>
        <w:rPr>
          <w:rFonts w:cstheme="minorHAnsi"/>
          <w:sz w:val="20"/>
          <w:szCs w:val="20"/>
        </w:rPr>
      </w:pPr>
    </w:p>
    <w:sectPr w:rsidR="00EF51CD" w:rsidRPr="001E3143" w:rsidSect="00F66107">
      <w:headerReference w:type="default" r:id="rId15"/>
      <w:pgSz w:w="11906" w:h="16838"/>
      <w:pgMar w:top="567" w:right="1134" w:bottom="816"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801F" w14:textId="77777777" w:rsidR="00752589" w:rsidRDefault="00752589" w:rsidP="008159C3">
      <w:r>
        <w:separator/>
      </w:r>
    </w:p>
  </w:endnote>
  <w:endnote w:type="continuationSeparator" w:id="0">
    <w:p w14:paraId="3C590137" w14:textId="77777777" w:rsidR="00752589" w:rsidRDefault="00752589" w:rsidP="0081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venir Book">
    <w:altName w:val="Tw Cen MT"/>
    <w:charset w:val="00"/>
    <w:family w:val="auto"/>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C64B" w14:textId="77777777" w:rsidR="00752589" w:rsidRDefault="00752589" w:rsidP="008159C3">
      <w:r>
        <w:separator/>
      </w:r>
    </w:p>
  </w:footnote>
  <w:footnote w:type="continuationSeparator" w:id="0">
    <w:p w14:paraId="66DAC633" w14:textId="77777777" w:rsidR="00752589" w:rsidRDefault="00752589" w:rsidP="00815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381F" w14:textId="4531CAFD" w:rsidR="008159C3" w:rsidRPr="008159C3" w:rsidRDefault="005B0241" w:rsidP="008159C3">
    <w:pPr>
      <w:spacing w:before="100" w:beforeAutospacing="1" w:after="100" w:afterAutospacing="1"/>
      <w:rPr>
        <w:rFonts w:eastAsia="Times New Roman" w:cstheme="minorHAnsi"/>
        <w:b/>
        <w:bCs/>
        <w:color w:val="000000"/>
        <w:sz w:val="22"/>
        <w:szCs w:val="22"/>
        <w:lang w:eastAsia="en-GB"/>
      </w:rPr>
    </w:pP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r>
      <w:rPr>
        <w:rFonts w:eastAsia="Times New Roman" w:cstheme="minorHAnsi"/>
        <w:b/>
        <w:bCs/>
        <w:color w:val="000000"/>
        <w:sz w:val="22"/>
        <w:szCs w:val="22"/>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27DC"/>
    <w:multiLevelType w:val="multilevel"/>
    <w:tmpl w:val="C744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C10D6"/>
    <w:multiLevelType w:val="multilevel"/>
    <w:tmpl w:val="3728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F7CFA"/>
    <w:multiLevelType w:val="multilevel"/>
    <w:tmpl w:val="8B5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D65B7"/>
    <w:multiLevelType w:val="multilevel"/>
    <w:tmpl w:val="F73C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B1445"/>
    <w:multiLevelType w:val="multilevel"/>
    <w:tmpl w:val="A1526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F62D1"/>
    <w:multiLevelType w:val="multilevel"/>
    <w:tmpl w:val="4C08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4648B"/>
    <w:multiLevelType w:val="multilevel"/>
    <w:tmpl w:val="D29A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949234">
    <w:abstractNumId w:val="1"/>
  </w:num>
  <w:num w:numId="2" w16cid:durableId="178547940">
    <w:abstractNumId w:val="6"/>
  </w:num>
  <w:num w:numId="3" w16cid:durableId="1157041414">
    <w:abstractNumId w:val="0"/>
  </w:num>
  <w:num w:numId="4" w16cid:durableId="529151852">
    <w:abstractNumId w:val="3"/>
  </w:num>
  <w:num w:numId="5" w16cid:durableId="1955866869">
    <w:abstractNumId w:val="4"/>
  </w:num>
  <w:num w:numId="6" w16cid:durableId="1853061324">
    <w:abstractNumId w:val="2"/>
  </w:num>
  <w:num w:numId="7" w16cid:durableId="1940944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A6"/>
    <w:rsid w:val="0000185B"/>
    <w:rsid w:val="0000241E"/>
    <w:rsid w:val="00043A27"/>
    <w:rsid w:val="000571DF"/>
    <w:rsid w:val="00081339"/>
    <w:rsid w:val="000D61A6"/>
    <w:rsid w:val="000D66F4"/>
    <w:rsid w:val="000F3547"/>
    <w:rsid w:val="00104D02"/>
    <w:rsid w:val="00117E21"/>
    <w:rsid w:val="00152AFE"/>
    <w:rsid w:val="00152F6A"/>
    <w:rsid w:val="00177578"/>
    <w:rsid w:val="001A38FC"/>
    <w:rsid w:val="001C0142"/>
    <w:rsid w:val="001E3143"/>
    <w:rsid w:val="00234A8A"/>
    <w:rsid w:val="00297360"/>
    <w:rsid w:val="002A4DD4"/>
    <w:rsid w:val="002D1E9E"/>
    <w:rsid w:val="002D2D32"/>
    <w:rsid w:val="002F2436"/>
    <w:rsid w:val="0033272D"/>
    <w:rsid w:val="003F1141"/>
    <w:rsid w:val="00491BA1"/>
    <w:rsid w:val="004D7ED5"/>
    <w:rsid w:val="005104B0"/>
    <w:rsid w:val="00541552"/>
    <w:rsid w:val="005634F6"/>
    <w:rsid w:val="005B0241"/>
    <w:rsid w:val="00655231"/>
    <w:rsid w:val="006917E7"/>
    <w:rsid w:val="006C53E3"/>
    <w:rsid w:val="006D3B48"/>
    <w:rsid w:val="006F4E7B"/>
    <w:rsid w:val="00721585"/>
    <w:rsid w:val="00752589"/>
    <w:rsid w:val="00755919"/>
    <w:rsid w:val="00756FA9"/>
    <w:rsid w:val="007A3D87"/>
    <w:rsid w:val="007A7585"/>
    <w:rsid w:val="00805D76"/>
    <w:rsid w:val="008159C3"/>
    <w:rsid w:val="00865629"/>
    <w:rsid w:val="0086744C"/>
    <w:rsid w:val="00895871"/>
    <w:rsid w:val="008A2E79"/>
    <w:rsid w:val="008C7EBE"/>
    <w:rsid w:val="008D4771"/>
    <w:rsid w:val="008E7F44"/>
    <w:rsid w:val="00911B0B"/>
    <w:rsid w:val="00916B0C"/>
    <w:rsid w:val="00925B9A"/>
    <w:rsid w:val="00970EE3"/>
    <w:rsid w:val="00976E7B"/>
    <w:rsid w:val="00976F5B"/>
    <w:rsid w:val="00980E0E"/>
    <w:rsid w:val="009C06D0"/>
    <w:rsid w:val="009C5069"/>
    <w:rsid w:val="00A95787"/>
    <w:rsid w:val="00AC62A8"/>
    <w:rsid w:val="00B30CE2"/>
    <w:rsid w:val="00B56C4A"/>
    <w:rsid w:val="00B61ACA"/>
    <w:rsid w:val="00B7470C"/>
    <w:rsid w:val="00B7521E"/>
    <w:rsid w:val="00B77761"/>
    <w:rsid w:val="00B8422A"/>
    <w:rsid w:val="00B90C48"/>
    <w:rsid w:val="00B9336B"/>
    <w:rsid w:val="00BA5B4D"/>
    <w:rsid w:val="00BD75E4"/>
    <w:rsid w:val="00BE2F07"/>
    <w:rsid w:val="00BF2175"/>
    <w:rsid w:val="00C24035"/>
    <w:rsid w:val="00CB6247"/>
    <w:rsid w:val="00CD153F"/>
    <w:rsid w:val="00CD6CC2"/>
    <w:rsid w:val="00D56BA5"/>
    <w:rsid w:val="00D649DA"/>
    <w:rsid w:val="00D65FF6"/>
    <w:rsid w:val="00D67C20"/>
    <w:rsid w:val="00DD4719"/>
    <w:rsid w:val="00E42B2A"/>
    <w:rsid w:val="00E4782B"/>
    <w:rsid w:val="00EF51CD"/>
    <w:rsid w:val="00F374DF"/>
    <w:rsid w:val="00F66107"/>
    <w:rsid w:val="00F96E5A"/>
    <w:rsid w:val="00FB1556"/>
    <w:rsid w:val="00FB7224"/>
    <w:rsid w:val="00FC4CF3"/>
    <w:rsid w:val="00FE4698"/>
    <w:rsid w:val="00FF139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CB8412"/>
  <w15:chartTrackingRefBased/>
  <w15:docId w15:val="{5AEFE1C9-4DFC-7B4F-AE72-C7C81E5E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E7F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61A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61A6"/>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D61A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D61A6"/>
    <w:rPr>
      <w:b/>
      <w:bCs/>
    </w:rPr>
  </w:style>
  <w:style w:type="character" w:customStyle="1" w:styleId="apple-converted-space">
    <w:name w:val="apple-converted-space"/>
    <w:basedOn w:val="DefaultParagraphFont"/>
    <w:rsid w:val="000D61A6"/>
  </w:style>
  <w:style w:type="character" w:styleId="Emphasis">
    <w:name w:val="Emphasis"/>
    <w:basedOn w:val="DefaultParagraphFont"/>
    <w:uiPriority w:val="20"/>
    <w:qFormat/>
    <w:rsid w:val="000D61A6"/>
    <w:rPr>
      <w:i/>
      <w:iCs/>
    </w:rPr>
  </w:style>
  <w:style w:type="character" w:styleId="Hyperlink">
    <w:name w:val="Hyperlink"/>
    <w:basedOn w:val="DefaultParagraphFont"/>
    <w:uiPriority w:val="99"/>
    <w:unhideWhenUsed/>
    <w:rsid w:val="000D61A6"/>
    <w:rPr>
      <w:color w:val="0000FF"/>
      <w:u w:val="single"/>
    </w:rPr>
  </w:style>
  <w:style w:type="paragraph" w:styleId="z-TopofForm">
    <w:name w:val="HTML Top of Form"/>
    <w:basedOn w:val="Normal"/>
    <w:next w:val="Normal"/>
    <w:link w:val="z-TopofFormChar"/>
    <w:hidden/>
    <w:uiPriority w:val="99"/>
    <w:semiHidden/>
    <w:unhideWhenUsed/>
    <w:rsid w:val="000D61A6"/>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D61A6"/>
    <w:rPr>
      <w:rFonts w:ascii="Arial" w:eastAsia="Times New Roman" w:hAnsi="Arial" w:cs="Arial"/>
      <w:vanish/>
      <w:sz w:val="16"/>
      <w:szCs w:val="16"/>
      <w:lang w:eastAsia="en-GB"/>
    </w:rPr>
  </w:style>
  <w:style w:type="paragraph" w:customStyle="1" w:styleId="placeholder">
    <w:name w:val="placeholder"/>
    <w:basedOn w:val="Normal"/>
    <w:rsid w:val="000D61A6"/>
    <w:pPr>
      <w:spacing w:before="100" w:beforeAutospacing="1" w:after="100" w:afterAutospacing="1"/>
    </w:pPr>
    <w:rPr>
      <w:rFonts w:ascii="Times New Roman" w:eastAsia="Times New Roman" w:hAnsi="Times New Roman" w:cs="Times New Roman"/>
      <w:lang w:eastAsia="en-GB"/>
    </w:rPr>
  </w:style>
  <w:style w:type="paragraph" w:styleId="z-BottomofForm">
    <w:name w:val="HTML Bottom of Form"/>
    <w:basedOn w:val="Normal"/>
    <w:next w:val="Normal"/>
    <w:link w:val="z-BottomofFormChar"/>
    <w:hidden/>
    <w:uiPriority w:val="99"/>
    <w:semiHidden/>
    <w:unhideWhenUsed/>
    <w:rsid w:val="000D61A6"/>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D61A6"/>
    <w:rPr>
      <w:rFonts w:ascii="Arial" w:eastAsia="Times New Roman" w:hAnsi="Arial" w:cs="Arial"/>
      <w:vanish/>
      <w:sz w:val="16"/>
      <w:szCs w:val="16"/>
      <w:lang w:eastAsia="en-GB"/>
    </w:rPr>
  </w:style>
  <w:style w:type="paragraph" w:styleId="Header">
    <w:name w:val="header"/>
    <w:basedOn w:val="Normal"/>
    <w:link w:val="HeaderChar"/>
    <w:uiPriority w:val="99"/>
    <w:unhideWhenUsed/>
    <w:rsid w:val="008159C3"/>
    <w:pPr>
      <w:tabs>
        <w:tab w:val="center" w:pos="4513"/>
        <w:tab w:val="right" w:pos="9026"/>
      </w:tabs>
    </w:pPr>
  </w:style>
  <w:style w:type="character" w:customStyle="1" w:styleId="HeaderChar">
    <w:name w:val="Header Char"/>
    <w:basedOn w:val="DefaultParagraphFont"/>
    <w:link w:val="Header"/>
    <w:uiPriority w:val="99"/>
    <w:rsid w:val="008159C3"/>
  </w:style>
  <w:style w:type="paragraph" w:styleId="Footer">
    <w:name w:val="footer"/>
    <w:basedOn w:val="Normal"/>
    <w:link w:val="FooterChar"/>
    <w:uiPriority w:val="99"/>
    <w:unhideWhenUsed/>
    <w:rsid w:val="008159C3"/>
    <w:pPr>
      <w:tabs>
        <w:tab w:val="center" w:pos="4513"/>
        <w:tab w:val="right" w:pos="9026"/>
      </w:tabs>
    </w:pPr>
  </w:style>
  <w:style w:type="character" w:customStyle="1" w:styleId="FooterChar">
    <w:name w:val="Footer Char"/>
    <w:basedOn w:val="DefaultParagraphFont"/>
    <w:link w:val="Footer"/>
    <w:uiPriority w:val="99"/>
    <w:rsid w:val="008159C3"/>
  </w:style>
  <w:style w:type="character" w:styleId="UnresolvedMention">
    <w:name w:val="Unresolved Mention"/>
    <w:basedOn w:val="DefaultParagraphFont"/>
    <w:uiPriority w:val="99"/>
    <w:semiHidden/>
    <w:unhideWhenUsed/>
    <w:rsid w:val="001E3143"/>
    <w:rPr>
      <w:color w:val="605E5C"/>
      <w:shd w:val="clear" w:color="auto" w:fill="E1DFDD"/>
    </w:rPr>
  </w:style>
  <w:style w:type="paragraph" w:styleId="Revision">
    <w:name w:val="Revision"/>
    <w:hidden/>
    <w:uiPriority w:val="99"/>
    <w:semiHidden/>
    <w:rsid w:val="00B56C4A"/>
  </w:style>
  <w:style w:type="character" w:styleId="CommentReference">
    <w:name w:val="annotation reference"/>
    <w:basedOn w:val="DefaultParagraphFont"/>
    <w:uiPriority w:val="99"/>
    <w:semiHidden/>
    <w:unhideWhenUsed/>
    <w:rsid w:val="008C7EBE"/>
    <w:rPr>
      <w:sz w:val="16"/>
      <w:szCs w:val="16"/>
    </w:rPr>
  </w:style>
  <w:style w:type="paragraph" w:styleId="CommentText">
    <w:name w:val="annotation text"/>
    <w:basedOn w:val="Normal"/>
    <w:link w:val="CommentTextChar"/>
    <w:uiPriority w:val="99"/>
    <w:unhideWhenUsed/>
    <w:rsid w:val="008C7EBE"/>
    <w:rPr>
      <w:sz w:val="20"/>
      <w:szCs w:val="20"/>
    </w:rPr>
  </w:style>
  <w:style w:type="character" w:customStyle="1" w:styleId="CommentTextChar">
    <w:name w:val="Comment Text Char"/>
    <w:basedOn w:val="DefaultParagraphFont"/>
    <w:link w:val="CommentText"/>
    <w:uiPriority w:val="99"/>
    <w:rsid w:val="008C7EBE"/>
    <w:rPr>
      <w:sz w:val="20"/>
      <w:szCs w:val="20"/>
    </w:rPr>
  </w:style>
  <w:style w:type="paragraph" w:styleId="CommentSubject">
    <w:name w:val="annotation subject"/>
    <w:basedOn w:val="CommentText"/>
    <w:next w:val="CommentText"/>
    <w:link w:val="CommentSubjectChar"/>
    <w:uiPriority w:val="99"/>
    <w:semiHidden/>
    <w:unhideWhenUsed/>
    <w:rsid w:val="008C7EBE"/>
    <w:rPr>
      <w:b/>
      <w:bCs/>
    </w:rPr>
  </w:style>
  <w:style w:type="character" w:customStyle="1" w:styleId="CommentSubjectChar">
    <w:name w:val="Comment Subject Char"/>
    <w:basedOn w:val="CommentTextChar"/>
    <w:link w:val="CommentSubject"/>
    <w:uiPriority w:val="99"/>
    <w:semiHidden/>
    <w:rsid w:val="008C7EBE"/>
    <w:rPr>
      <w:b/>
      <w:bCs/>
      <w:sz w:val="20"/>
      <w:szCs w:val="20"/>
    </w:rPr>
  </w:style>
  <w:style w:type="character" w:customStyle="1" w:styleId="Heading2Char">
    <w:name w:val="Heading 2 Char"/>
    <w:basedOn w:val="DefaultParagraphFont"/>
    <w:link w:val="Heading2"/>
    <w:uiPriority w:val="9"/>
    <w:semiHidden/>
    <w:rsid w:val="008E7F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E7F44"/>
    <w:pPr>
      <w:ind w:left="720"/>
      <w:contextualSpacing/>
    </w:pPr>
  </w:style>
  <w:style w:type="character" w:styleId="FollowedHyperlink">
    <w:name w:val="FollowedHyperlink"/>
    <w:basedOn w:val="DefaultParagraphFont"/>
    <w:uiPriority w:val="99"/>
    <w:semiHidden/>
    <w:unhideWhenUsed/>
    <w:rsid w:val="00805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2215">
      <w:bodyDiv w:val="1"/>
      <w:marLeft w:val="0"/>
      <w:marRight w:val="0"/>
      <w:marTop w:val="0"/>
      <w:marBottom w:val="0"/>
      <w:divBdr>
        <w:top w:val="none" w:sz="0" w:space="0" w:color="auto"/>
        <w:left w:val="none" w:sz="0" w:space="0" w:color="auto"/>
        <w:bottom w:val="none" w:sz="0" w:space="0" w:color="auto"/>
        <w:right w:val="none" w:sz="0" w:space="0" w:color="auto"/>
      </w:divBdr>
      <w:divsChild>
        <w:div w:id="23366039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42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173496">
      <w:bodyDiv w:val="1"/>
      <w:marLeft w:val="0"/>
      <w:marRight w:val="0"/>
      <w:marTop w:val="0"/>
      <w:marBottom w:val="0"/>
      <w:divBdr>
        <w:top w:val="none" w:sz="0" w:space="0" w:color="auto"/>
        <w:left w:val="none" w:sz="0" w:space="0" w:color="auto"/>
        <w:bottom w:val="none" w:sz="0" w:space="0" w:color="auto"/>
        <w:right w:val="none" w:sz="0" w:space="0" w:color="auto"/>
      </w:divBdr>
      <w:divsChild>
        <w:div w:id="759958258">
          <w:marLeft w:val="0"/>
          <w:marRight w:val="0"/>
          <w:marTop w:val="0"/>
          <w:marBottom w:val="0"/>
          <w:divBdr>
            <w:top w:val="none" w:sz="0" w:space="0" w:color="auto"/>
            <w:left w:val="none" w:sz="0" w:space="0" w:color="auto"/>
            <w:bottom w:val="none" w:sz="0" w:space="0" w:color="auto"/>
            <w:right w:val="none" w:sz="0" w:space="0" w:color="auto"/>
          </w:divBdr>
          <w:divsChild>
            <w:div w:id="1476489425">
              <w:marLeft w:val="0"/>
              <w:marRight w:val="0"/>
              <w:marTop w:val="0"/>
              <w:marBottom w:val="0"/>
              <w:divBdr>
                <w:top w:val="none" w:sz="0" w:space="0" w:color="auto"/>
                <w:left w:val="none" w:sz="0" w:space="0" w:color="auto"/>
                <w:bottom w:val="none" w:sz="0" w:space="0" w:color="auto"/>
                <w:right w:val="none" w:sz="0" w:space="0" w:color="auto"/>
              </w:divBdr>
              <w:divsChild>
                <w:div w:id="247622122">
                  <w:marLeft w:val="0"/>
                  <w:marRight w:val="0"/>
                  <w:marTop w:val="0"/>
                  <w:marBottom w:val="0"/>
                  <w:divBdr>
                    <w:top w:val="none" w:sz="0" w:space="0" w:color="auto"/>
                    <w:left w:val="none" w:sz="0" w:space="0" w:color="auto"/>
                    <w:bottom w:val="none" w:sz="0" w:space="0" w:color="auto"/>
                    <w:right w:val="none" w:sz="0" w:space="0" w:color="auto"/>
                  </w:divBdr>
                  <w:divsChild>
                    <w:div w:id="184489352">
                      <w:marLeft w:val="0"/>
                      <w:marRight w:val="0"/>
                      <w:marTop w:val="0"/>
                      <w:marBottom w:val="0"/>
                      <w:divBdr>
                        <w:top w:val="none" w:sz="0" w:space="0" w:color="auto"/>
                        <w:left w:val="none" w:sz="0" w:space="0" w:color="auto"/>
                        <w:bottom w:val="none" w:sz="0" w:space="0" w:color="auto"/>
                        <w:right w:val="none" w:sz="0" w:space="0" w:color="auto"/>
                      </w:divBdr>
                      <w:divsChild>
                        <w:div w:id="1883863562">
                          <w:marLeft w:val="0"/>
                          <w:marRight w:val="0"/>
                          <w:marTop w:val="0"/>
                          <w:marBottom w:val="0"/>
                          <w:divBdr>
                            <w:top w:val="none" w:sz="0" w:space="0" w:color="auto"/>
                            <w:left w:val="none" w:sz="0" w:space="0" w:color="auto"/>
                            <w:bottom w:val="none" w:sz="0" w:space="0" w:color="auto"/>
                            <w:right w:val="none" w:sz="0" w:space="0" w:color="auto"/>
                          </w:divBdr>
                          <w:divsChild>
                            <w:div w:id="1609851817">
                              <w:marLeft w:val="0"/>
                              <w:marRight w:val="0"/>
                              <w:marTop w:val="0"/>
                              <w:marBottom w:val="0"/>
                              <w:divBdr>
                                <w:top w:val="none" w:sz="0" w:space="0" w:color="auto"/>
                                <w:left w:val="none" w:sz="0" w:space="0" w:color="auto"/>
                                <w:bottom w:val="none" w:sz="0" w:space="0" w:color="auto"/>
                                <w:right w:val="none" w:sz="0" w:space="0" w:color="auto"/>
                              </w:divBdr>
                              <w:divsChild>
                                <w:div w:id="691303922">
                                  <w:marLeft w:val="0"/>
                                  <w:marRight w:val="0"/>
                                  <w:marTop w:val="0"/>
                                  <w:marBottom w:val="0"/>
                                  <w:divBdr>
                                    <w:top w:val="none" w:sz="0" w:space="0" w:color="auto"/>
                                    <w:left w:val="none" w:sz="0" w:space="0" w:color="auto"/>
                                    <w:bottom w:val="none" w:sz="0" w:space="0" w:color="auto"/>
                                    <w:right w:val="none" w:sz="0" w:space="0" w:color="auto"/>
                                  </w:divBdr>
                                  <w:divsChild>
                                    <w:div w:id="2026863893">
                                      <w:marLeft w:val="0"/>
                                      <w:marRight w:val="0"/>
                                      <w:marTop w:val="0"/>
                                      <w:marBottom w:val="0"/>
                                      <w:divBdr>
                                        <w:top w:val="none" w:sz="0" w:space="0" w:color="auto"/>
                                        <w:left w:val="none" w:sz="0" w:space="0" w:color="auto"/>
                                        <w:bottom w:val="none" w:sz="0" w:space="0" w:color="auto"/>
                                        <w:right w:val="none" w:sz="0" w:space="0" w:color="auto"/>
                                      </w:divBdr>
                                      <w:divsChild>
                                        <w:div w:id="207448865">
                                          <w:marLeft w:val="0"/>
                                          <w:marRight w:val="0"/>
                                          <w:marTop w:val="0"/>
                                          <w:marBottom w:val="0"/>
                                          <w:divBdr>
                                            <w:top w:val="none" w:sz="0" w:space="0" w:color="auto"/>
                                            <w:left w:val="none" w:sz="0" w:space="0" w:color="auto"/>
                                            <w:bottom w:val="none" w:sz="0" w:space="0" w:color="auto"/>
                                            <w:right w:val="none" w:sz="0" w:space="0" w:color="auto"/>
                                          </w:divBdr>
                                          <w:divsChild>
                                            <w:div w:id="1977105726">
                                              <w:marLeft w:val="0"/>
                                              <w:marRight w:val="0"/>
                                              <w:marTop w:val="0"/>
                                              <w:marBottom w:val="0"/>
                                              <w:divBdr>
                                                <w:top w:val="none" w:sz="0" w:space="0" w:color="auto"/>
                                                <w:left w:val="none" w:sz="0" w:space="0" w:color="auto"/>
                                                <w:bottom w:val="none" w:sz="0" w:space="0" w:color="auto"/>
                                                <w:right w:val="none" w:sz="0" w:space="0" w:color="auto"/>
                                              </w:divBdr>
                                              <w:divsChild>
                                                <w:div w:id="953561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93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212381">
          <w:marLeft w:val="0"/>
          <w:marRight w:val="0"/>
          <w:marTop w:val="0"/>
          <w:marBottom w:val="0"/>
          <w:divBdr>
            <w:top w:val="none" w:sz="0" w:space="0" w:color="auto"/>
            <w:left w:val="none" w:sz="0" w:space="0" w:color="auto"/>
            <w:bottom w:val="none" w:sz="0" w:space="0" w:color="auto"/>
            <w:right w:val="none" w:sz="0" w:space="0" w:color="auto"/>
          </w:divBdr>
          <w:divsChild>
            <w:div w:id="1477529520">
              <w:marLeft w:val="0"/>
              <w:marRight w:val="0"/>
              <w:marTop w:val="0"/>
              <w:marBottom w:val="0"/>
              <w:divBdr>
                <w:top w:val="none" w:sz="0" w:space="0" w:color="auto"/>
                <w:left w:val="none" w:sz="0" w:space="0" w:color="auto"/>
                <w:bottom w:val="none" w:sz="0" w:space="0" w:color="auto"/>
                <w:right w:val="none" w:sz="0" w:space="0" w:color="auto"/>
              </w:divBdr>
              <w:divsChild>
                <w:div w:id="1403522501">
                  <w:marLeft w:val="0"/>
                  <w:marRight w:val="0"/>
                  <w:marTop w:val="0"/>
                  <w:marBottom w:val="0"/>
                  <w:divBdr>
                    <w:top w:val="none" w:sz="0" w:space="0" w:color="auto"/>
                    <w:left w:val="none" w:sz="0" w:space="0" w:color="auto"/>
                    <w:bottom w:val="none" w:sz="0" w:space="0" w:color="auto"/>
                    <w:right w:val="none" w:sz="0" w:space="0" w:color="auto"/>
                  </w:divBdr>
                  <w:divsChild>
                    <w:div w:id="1667702625">
                      <w:marLeft w:val="0"/>
                      <w:marRight w:val="0"/>
                      <w:marTop w:val="0"/>
                      <w:marBottom w:val="0"/>
                      <w:divBdr>
                        <w:top w:val="none" w:sz="0" w:space="0" w:color="auto"/>
                        <w:left w:val="none" w:sz="0" w:space="0" w:color="auto"/>
                        <w:bottom w:val="none" w:sz="0" w:space="0" w:color="auto"/>
                        <w:right w:val="none" w:sz="0" w:space="0" w:color="auto"/>
                      </w:divBdr>
                      <w:divsChild>
                        <w:div w:id="928854005">
                          <w:marLeft w:val="0"/>
                          <w:marRight w:val="0"/>
                          <w:marTop w:val="0"/>
                          <w:marBottom w:val="0"/>
                          <w:divBdr>
                            <w:top w:val="none" w:sz="0" w:space="0" w:color="auto"/>
                            <w:left w:val="none" w:sz="0" w:space="0" w:color="auto"/>
                            <w:bottom w:val="none" w:sz="0" w:space="0" w:color="auto"/>
                            <w:right w:val="none" w:sz="0" w:space="0" w:color="auto"/>
                          </w:divBdr>
                          <w:divsChild>
                            <w:div w:id="1741713040">
                              <w:marLeft w:val="0"/>
                              <w:marRight w:val="0"/>
                              <w:marTop w:val="0"/>
                              <w:marBottom w:val="0"/>
                              <w:divBdr>
                                <w:top w:val="none" w:sz="0" w:space="0" w:color="auto"/>
                                <w:left w:val="none" w:sz="0" w:space="0" w:color="auto"/>
                                <w:bottom w:val="none" w:sz="0" w:space="0" w:color="auto"/>
                                <w:right w:val="none" w:sz="0" w:space="0" w:color="auto"/>
                              </w:divBdr>
                              <w:divsChild>
                                <w:div w:id="1343623749">
                                  <w:marLeft w:val="0"/>
                                  <w:marRight w:val="0"/>
                                  <w:marTop w:val="0"/>
                                  <w:marBottom w:val="0"/>
                                  <w:divBdr>
                                    <w:top w:val="none" w:sz="0" w:space="0" w:color="auto"/>
                                    <w:left w:val="none" w:sz="0" w:space="0" w:color="auto"/>
                                    <w:bottom w:val="none" w:sz="0" w:space="0" w:color="auto"/>
                                    <w:right w:val="none" w:sz="0" w:space="0" w:color="auto"/>
                                  </w:divBdr>
                                  <w:divsChild>
                                    <w:div w:id="873034982">
                                      <w:marLeft w:val="0"/>
                                      <w:marRight w:val="0"/>
                                      <w:marTop w:val="0"/>
                                      <w:marBottom w:val="0"/>
                                      <w:divBdr>
                                        <w:top w:val="none" w:sz="0" w:space="0" w:color="auto"/>
                                        <w:left w:val="none" w:sz="0" w:space="0" w:color="auto"/>
                                        <w:bottom w:val="none" w:sz="0" w:space="0" w:color="auto"/>
                                        <w:right w:val="none" w:sz="0" w:space="0" w:color="auto"/>
                                      </w:divBdr>
                                      <w:divsChild>
                                        <w:div w:id="883905356">
                                          <w:marLeft w:val="0"/>
                                          <w:marRight w:val="0"/>
                                          <w:marTop w:val="0"/>
                                          <w:marBottom w:val="0"/>
                                          <w:divBdr>
                                            <w:top w:val="none" w:sz="0" w:space="0" w:color="auto"/>
                                            <w:left w:val="none" w:sz="0" w:space="0" w:color="auto"/>
                                            <w:bottom w:val="none" w:sz="0" w:space="0" w:color="auto"/>
                                            <w:right w:val="none" w:sz="0" w:space="0" w:color="auto"/>
                                          </w:divBdr>
                                          <w:divsChild>
                                            <w:div w:id="21456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001048">
              <w:marLeft w:val="0"/>
              <w:marRight w:val="0"/>
              <w:marTop w:val="0"/>
              <w:marBottom w:val="0"/>
              <w:divBdr>
                <w:top w:val="none" w:sz="0" w:space="0" w:color="auto"/>
                <w:left w:val="none" w:sz="0" w:space="0" w:color="auto"/>
                <w:bottom w:val="none" w:sz="0" w:space="0" w:color="auto"/>
                <w:right w:val="none" w:sz="0" w:space="0" w:color="auto"/>
              </w:divBdr>
              <w:divsChild>
                <w:div w:id="9502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onsult.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ggiebeerfoundation.org.au/wp-content/uploads/2025/11/HealthConsult_MBF_Improving-food-in-aged-care-evaluation-Yr-2-11.11.2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linda@meltingpotcommunication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cfb1fb-92f8-4b2d-9387-138416fd8e2f" xsi:nil="true"/>
    <lcf76f155ced4ddcb4097134ff3c332f xmlns="e9ed4965-6c79-43b2-b66c-0156d707df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D215C8367D5C4D875B0EB2331BADF4" ma:contentTypeVersion="15" ma:contentTypeDescription="Create a new document." ma:contentTypeScope="" ma:versionID="83cc4635075b29b4f0ed94c557fc8ca3">
  <xsd:schema xmlns:xsd="http://www.w3.org/2001/XMLSchema" xmlns:xs="http://www.w3.org/2001/XMLSchema" xmlns:p="http://schemas.microsoft.com/office/2006/metadata/properties" xmlns:ns2="e9ed4965-6c79-43b2-b66c-0156d707dfda" xmlns:ns3="78cfb1fb-92f8-4b2d-9387-138416fd8e2f" targetNamespace="http://schemas.microsoft.com/office/2006/metadata/properties" ma:root="true" ma:fieldsID="d23e5d20f003205d2ac629e2ea73bebd" ns2:_="" ns3:_="">
    <xsd:import namespace="e9ed4965-6c79-43b2-b66c-0156d707dfda"/>
    <xsd:import namespace="78cfb1fb-92f8-4b2d-9387-138416fd8e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d4965-6c79-43b2-b66c-0156d707d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2b57ba-a143-482e-8372-109041eae0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fb1fb-92f8-4b2d-9387-138416fd8e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e27dbc-aeab-41fd-819a-96df73959cc8}" ma:internalName="TaxCatchAll" ma:showField="CatchAllData" ma:web="78cfb1fb-92f8-4b2d-9387-138416fd8e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F1592-24F4-4173-A7EB-7CA389A0F1ED}">
  <ds:schemaRefs>
    <ds:schemaRef ds:uri="http://schemas.microsoft.com/office/2006/metadata/properties"/>
    <ds:schemaRef ds:uri="http://schemas.microsoft.com/office/infopath/2007/PartnerControls"/>
    <ds:schemaRef ds:uri="78cfb1fb-92f8-4b2d-9387-138416fd8e2f"/>
    <ds:schemaRef ds:uri="e9ed4965-6c79-43b2-b66c-0156d707dfda"/>
  </ds:schemaRefs>
</ds:datastoreItem>
</file>

<file path=customXml/itemProps2.xml><?xml version="1.0" encoding="utf-8"?>
<ds:datastoreItem xmlns:ds="http://schemas.openxmlformats.org/officeDocument/2006/customXml" ds:itemID="{D7F09201-F506-4B34-AE2A-41FC6DA82BAB}">
  <ds:schemaRefs>
    <ds:schemaRef ds:uri="http://schemas.microsoft.com/sharepoint/v3/contenttype/forms"/>
  </ds:schemaRefs>
</ds:datastoreItem>
</file>

<file path=customXml/itemProps3.xml><?xml version="1.0" encoding="utf-8"?>
<ds:datastoreItem xmlns:ds="http://schemas.openxmlformats.org/officeDocument/2006/customXml" ds:itemID="{B7380734-6918-44EB-A6A4-BEAAF304E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d4965-6c79-43b2-b66c-0156d707dfda"/>
    <ds:schemaRef ds:uri="78cfb1fb-92f8-4b2d-9387-138416fd8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1038</Words>
  <Characters>6386</Characters>
  <Application>Microsoft Office Word</Application>
  <DocSecurity>0</DocSecurity>
  <Lines>112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Durston</dc:creator>
  <cp:keywords/>
  <dc:description/>
  <cp:lastModifiedBy>Siena McNamara</cp:lastModifiedBy>
  <cp:revision>7</cp:revision>
  <cp:lastPrinted>2025-11-11T21:25:00Z</cp:lastPrinted>
  <dcterms:created xsi:type="dcterms:W3CDTF">2025-11-10T05:04:00Z</dcterms:created>
  <dcterms:modified xsi:type="dcterms:W3CDTF">2025-11-11T23:06:00Z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0x01010031D215C8367D5C4D875B0EB2331BADF4</vt:lpwstr>
  </property>
</Properties>
</file>